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6573F" w14:textId="66938A4F" w:rsidR="00AA235E" w:rsidRDefault="007F10F6" w:rsidP="000E0355">
      <w:pPr>
        <w:pStyle w:val="Heading1"/>
      </w:pPr>
      <w:bookmarkStart w:id="0" w:name="_fs_d4lC69k4UkaGnwNu98CLQ"/>
      <w:bookmarkStart w:id="1" w:name="_GoBack"/>
      <w:bookmarkEnd w:id="1"/>
      <w:r w:rsidRPr="007F10F6">
        <w:rPr>
          <w:color w:val="19456B" w:themeColor="background2"/>
          <w:sz w:val="40"/>
        </w:rPr>
        <w:t>TIO USER GUIDE</w:t>
      </w:r>
      <w:r w:rsidRPr="0089052D">
        <w:rPr>
          <w:sz w:val="40"/>
        </w:rPr>
        <w:br/>
      </w:r>
      <w:bookmarkEnd w:id="0"/>
      <w:r w:rsidR="00DA743E">
        <w:t>Improvements Exemplar for NLTP Inclusion</w:t>
      </w:r>
    </w:p>
    <w:p w14:paraId="79F8F632" w14:textId="4A36BD64" w:rsidR="007053F3" w:rsidRDefault="007053F3" w:rsidP="007F10F6">
      <w:pPr>
        <w:pStyle w:val="FluentText"/>
      </w:pPr>
    </w:p>
    <w:p w14:paraId="310C7B1F" w14:textId="77777777" w:rsidR="005D62B0" w:rsidRPr="00B77903" w:rsidRDefault="005D62B0" w:rsidP="007F10F6">
      <w:pPr>
        <w:pStyle w:val="FluentText"/>
      </w:pPr>
    </w:p>
    <w:p w14:paraId="109DF41D" w14:textId="5494ACC7" w:rsidR="00AA235E" w:rsidRDefault="00AA235E" w:rsidP="007053F3">
      <w:pPr>
        <w:pStyle w:val="SectionHeading"/>
      </w:pPr>
      <w:r w:rsidRPr="00C868BC">
        <w:t>New Starter?</w:t>
      </w:r>
    </w:p>
    <w:p w14:paraId="66B543A1" w14:textId="77777777" w:rsidR="007053F3" w:rsidRPr="007053F3" w:rsidRDefault="007053F3" w:rsidP="007053F3">
      <w:pPr>
        <w:pStyle w:val="FluentText"/>
      </w:pPr>
    </w:p>
    <w:p w14:paraId="16AAC96A" w14:textId="77777777" w:rsidR="00AA235E" w:rsidRDefault="00AA235E" w:rsidP="007F10F6">
      <w:pPr>
        <w:pStyle w:val="FluentText"/>
      </w:pPr>
      <w:r w:rsidRPr="00B77903">
        <w:t xml:space="preserve">Click on </w:t>
      </w:r>
      <w:r w:rsidRPr="00DA4BC1">
        <w:rPr>
          <w:b/>
          <w:u w:val="single"/>
        </w:rPr>
        <w:t>Introduction to TIO</w:t>
      </w:r>
      <w:r w:rsidRPr="0089052D">
        <w:t xml:space="preserve"> to learn</w:t>
      </w:r>
      <w:r>
        <w:t xml:space="preserve"> important things about TIO, and</w:t>
      </w:r>
      <w:r w:rsidRPr="0089052D">
        <w:t xml:space="preserve"> </w:t>
      </w:r>
      <w:r>
        <w:t xml:space="preserve">correct or </w:t>
      </w:r>
      <w:r w:rsidRPr="0089052D">
        <w:t>useful time-saving skills</w:t>
      </w:r>
      <w:r>
        <w:t>.</w:t>
      </w:r>
    </w:p>
    <w:p w14:paraId="30FDA8EC" w14:textId="577906B3" w:rsidR="00AA235E" w:rsidRDefault="00AA235E" w:rsidP="007F10F6">
      <w:pPr>
        <w:pStyle w:val="FluentText"/>
      </w:pPr>
    </w:p>
    <w:p w14:paraId="5902E521" w14:textId="77777777" w:rsidR="007053F3" w:rsidRPr="0089052D" w:rsidRDefault="007053F3" w:rsidP="007F10F6">
      <w:pPr>
        <w:pStyle w:val="FluentText"/>
      </w:pPr>
    </w:p>
    <w:p w14:paraId="5168D34E" w14:textId="18183813" w:rsidR="00AA235E" w:rsidRDefault="00AA235E" w:rsidP="007053F3">
      <w:pPr>
        <w:pStyle w:val="SectionHeading"/>
      </w:pPr>
      <w:r w:rsidRPr="0089052D">
        <w:t>Role</w:t>
      </w:r>
      <w:r>
        <w:t xml:space="preserve"> and Responsibility</w:t>
      </w:r>
    </w:p>
    <w:p w14:paraId="742BF872" w14:textId="77777777" w:rsidR="009D2994" w:rsidRPr="009D2994" w:rsidRDefault="009D2994" w:rsidP="009D2994">
      <w:pPr>
        <w:pStyle w:val="FluentText"/>
      </w:pPr>
    </w:p>
    <w:tbl>
      <w:tblPr>
        <w:tblStyle w:val="TableGrid"/>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1DAF0" w:themeFill="background2" w:themeFillTint="33"/>
        <w:tblCellMar>
          <w:top w:w="113" w:type="dxa"/>
          <w:bottom w:w="113" w:type="dxa"/>
        </w:tblCellMar>
        <w:tblLook w:val="04A0" w:firstRow="1" w:lastRow="0" w:firstColumn="1" w:lastColumn="0" w:noHBand="0" w:noVBand="1"/>
      </w:tblPr>
      <w:tblGrid>
        <w:gridCol w:w="5270"/>
        <w:gridCol w:w="10130"/>
      </w:tblGrid>
      <w:tr w:rsidR="00DA743E" w:rsidRPr="00EC7A66" w14:paraId="710F5B10" w14:textId="77777777" w:rsidTr="009D2994">
        <w:tc>
          <w:tcPr>
            <w:tcW w:w="3582" w:type="dxa"/>
            <w:shd w:val="clear" w:color="auto" w:fill="C1DAF0" w:themeFill="background2" w:themeFillTint="33"/>
            <w:vAlign w:val="center"/>
          </w:tcPr>
          <w:p w14:paraId="458BF676" w14:textId="0C60C3EA" w:rsidR="00DA743E" w:rsidRDefault="00DA743E" w:rsidP="007F10F6">
            <w:pPr>
              <w:pStyle w:val="FluentText"/>
              <w:rPr>
                <w:b/>
              </w:rPr>
            </w:pPr>
            <w:r>
              <w:rPr>
                <w:b/>
              </w:rPr>
              <w:t>Regional Transport Committees</w:t>
            </w:r>
            <w:r w:rsidR="003562E7">
              <w:rPr>
                <w:b/>
              </w:rPr>
              <w:t xml:space="preserve"> (RTC)</w:t>
            </w:r>
          </w:p>
          <w:p w14:paraId="7ADC2B6F" w14:textId="4326E0D4" w:rsidR="00DA743E" w:rsidRDefault="00DA743E" w:rsidP="007F10F6">
            <w:pPr>
              <w:pStyle w:val="FluentText"/>
              <w:rPr>
                <w:b/>
              </w:rPr>
            </w:pPr>
          </w:p>
        </w:tc>
        <w:tc>
          <w:tcPr>
            <w:tcW w:w="6886" w:type="dxa"/>
            <w:shd w:val="clear" w:color="auto" w:fill="C1DAF0" w:themeFill="background2" w:themeFillTint="33"/>
            <w:vAlign w:val="center"/>
          </w:tcPr>
          <w:p w14:paraId="6B7B378F" w14:textId="7CE11384" w:rsidR="00DA743E" w:rsidRDefault="00DA743E" w:rsidP="007F10F6">
            <w:pPr>
              <w:pStyle w:val="FluentText"/>
            </w:pPr>
            <w:r>
              <w:t xml:space="preserve">Activities in TIO are submitted </w:t>
            </w:r>
            <w:r w:rsidR="00DE132C">
              <w:t xml:space="preserve">to </w:t>
            </w:r>
            <w:r>
              <w:t>a</w:t>
            </w:r>
            <w:r w:rsidR="00DE132C">
              <w:t>n</w:t>
            </w:r>
            <w:r>
              <w:t xml:space="preserve"> RTC for inclusion in their RLTP. All activities</w:t>
            </w:r>
            <w:r w:rsidR="00DE132C">
              <w:t>,</w:t>
            </w:r>
            <w:r>
              <w:t xml:space="preserve"> </w:t>
            </w:r>
            <w:r w:rsidR="00802208">
              <w:t xml:space="preserve">excluding Waka Kotahi nationally delivered </w:t>
            </w:r>
            <w:r w:rsidR="00DE132C">
              <w:t>activities, are required to be included in an RLTP to be included in the NLTP.</w:t>
            </w:r>
          </w:p>
        </w:tc>
      </w:tr>
      <w:tr w:rsidR="00AA235E" w:rsidRPr="00EC7A66" w14:paraId="3126C2C9" w14:textId="77777777" w:rsidTr="009D2994">
        <w:tc>
          <w:tcPr>
            <w:tcW w:w="3582" w:type="dxa"/>
            <w:shd w:val="clear" w:color="auto" w:fill="C1DAF0" w:themeFill="background2" w:themeFillTint="33"/>
            <w:vAlign w:val="center"/>
          </w:tcPr>
          <w:p w14:paraId="3D7F3226" w14:textId="1C3D788F" w:rsidR="00AA235E" w:rsidRPr="007053F3" w:rsidRDefault="00DA743E" w:rsidP="007F10F6">
            <w:pPr>
              <w:pStyle w:val="FluentText"/>
              <w:rPr>
                <w:b/>
              </w:rPr>
            </w:pPr>
            <w:r>
              <w:rPr>
                <w:b/>
              </w:rPr>
              <w:t xml:space="preserve">Activity Owner </w:t>
            </w:r>
            <w:r>
              <w:rPr>
                <w:b/>
              </w:rPr>
              <w:br/>
              <w:t>(</w:t>
            </w:r>
            <w:r w:rsidR="00AA235E" w:rsidRPr="007053F3">
              <w:rPr>
                <w:b/>
              </w:rPr>
              <w:t>Approved Organisations (AO)</w:t>
            </w:r>
            <w:r>
              <w:rPr>
                <w:b/>
              </w:rPr>
              <w:t xml:space="preserve"> or </w:t>
            </w:r>
            <w:r w:rsidRPr="007053F3">
              <w:rPr>
                <w:b/>
              </w:rPr>
              <w:t>Waka Kotahi</w:t>
            </w:r>
            <w:r>
              <w:rPr>
                <w:b/>
              </w:rPr>
              <w:t>)</w:t>
            </w:r>
          </w:p>
        </w:tc>
        <w:tc>
          <w:tcPr>
            <w:tcW w:w="6886" w:type="dxa"/>
            <w:shd w:val="clear" w:color="auto" w:fill="C1DAF0" w:themeFill="background2" w:themeFillTint="33"/>
            <w:vAlign w:val="center"/>
          </w:tcPr>
          <w:p w14:paraId="53B3BB56" w14:textId="080EED50" w:rsidR="00AA235E" w:rsidRPr="00EC7A66" w:rsidRDefault="00DA743E" w:rsidP="007F10F6">
            <w:pPr>
              <w:pStyle w:val="FluentText"/>
            </w:pPr>
            <w:r>
              <w:t>Create new and/or modify improvement activities in TIO. Submit the activity to RTCs for inclusion into the RLTP/NTLP</w:t>
            </w:r>
          </w:p>
        </w:tc>
      </w:tr>
      <w:tr w:rsidR="00AA235E" w:rsidRPr="00EC7A66" w14:paraId="3B00ED73" w14:textId="77777777" w:rsidTr="009D2994">
        <w:tc>
          <w:tcPr>
            <w:tcW w:w="3582" w:type="dxa"/>
            <w:shd w:val="clear" w:color="auto" w:fill="C1DAF0" w:themeFill="background2" w:themeFillTint="33"/>
            <w:vAlign w:val="center"/>
          </w:tcPr>
          <w:p w14:paraId="4589268E" w14:textId="77777777" w:rsidR="00DA743E" w:rsidRDefault="00AA235E" w:rsidP="007F10F6">
            <w:pPr>
              <w:pStyle w:val="FluentText"/>
              <w:rPr>
                <w:b/>
              </w:rPr>
            </w:pPr>
            <w:r w:rsidRPr="007053F3">
              <w:rPr>
                <w:b/>
              </w:rPr>
              <w:t xml:space="preserve">Waka Kotahi </w:t>
            </w:r>
            <w:r w:rsidR="00DA743E">
              <w:rPr>
                <w:b/>
              </w:rPr>
              <w:t>Investment Advisor</w:t>
            </w:r>
          </w:p>
          <w:p w14:paraId="370B6C1E" w14:textId="2D7390DD" w:rsidR="00AA235E" w:rsidRPr="007053F3" w:rsidRDefault="00DA743E" w:rsidP="007F10F6">
            <w:pPr>
              <w:pStyle w:val="FluentText"/>
              <w:rPr>
                <w:b/>
              </w:rPr>
            </w:pPr>
            <w:r>
              <w:rPr>
                <w:b/>
              </w:rPr>
              <w:t xml:space="preserve"> </w:t>
            </w:r>
          </w:p>
        </w:tc>
        <w:tc>
          <w:tcPr>
            <w:tcW w:w="6886" w:type="dxa"/>
            <w:shd w:val="clear" w:color="auto" w:fill="C1DAF0" w:themeFill="background2" w:themeFillTint="33"/>
            <w:vAlign w:val="center"/>
          </w:tcPr>
          <w:p w14:paraId="4C3F7F3C" w14:textId="60080165" w:rsidR="00AA235E" w:rsidRPr="00EC7A66" w:rsidRDefault="00DA743E" w:rsidP="007F10F6">
            <w:pPr>
              <w:pStyle w:val="FluentText"/>
            </w:pPr>
            <w:r>
              <w:t>Review activity information and the Investment Prioritisation Method (IPM) profile for the activity. Input the Waka Kotahi IPM profile into TIO and liaise with the Activity Owner on any incomplete, inaccurate or incorrect information included in TIO for the activity.</w:t>
            </w:r>
          </w:p>
        </w:tc>
      </w:tr>
    </w:tbl>
    <w:p w14:paraId="104471D5" w14:textId="388522B4" w:rsidR="00AA235E" w:rsidRDefault="00AA235E" w:rsidP="007F10F6">
      <w:pPr>
        <w:pStyle w:val="FluentText"/>
      </w:pPr>
    </w:p>
    <w:p w14:paraId="669118FF" w14:textId="53976DFD" w:rsidR="00801EE2" w:rsidRDefault="00F47171" w:rsidP="007F10F6">
      <w:pPr>
        <w:pStyle w:val="FluentText"/>
      </w:pPr>
      <w:r>
        <w:pict w14:anchorId="45330713">
          <v:rect id="_x0000_i1025" style="width:471.95pt;height:1.5pt" o:hrpct="900" o:hralign="center" o:hrstd="t" o:hr="t" fillcolor="#a0a0a0" stroked="f"/>
        </w:pict>
      </w:r>
    </w:p>
    <w:p w14:paraId="47235553" w14:textId="77777777" w:rsidR="00801EE2" w:rsidRPr="00801EE2" w:rsidRDefault="00801EE2" w:rsidP="00801EE2"/>
    <w:p w14:paraId="71CAC5D2" w14:textId="418E602D" w:rsidR="001B7122" w:rsidRPr="00A76E45" w:rsidRDefault="001B7122" w:rsidP="00EF42E1">
      <w:pPr>
        <w:pStyle w:val="FluentText"/>
        <w:spacing w:after="60"/>
        <w:rPr>
          <w:b/>
          <w:color w:val="AFBD22" w:themeColor="text2"/>
          <w:sz w:val="22"/>
        </w:rPr>
      </w:pPr>
      <w:r w:rsidRPr="00A76E45">
        <w:rPr>
          <w:b/>
          <w:color w:val="AFBD22" w:themeColor="text2"/>
          <w:sz w:val="22"/>
        </w:rPr>
        <w:t>What level is the exemplar set</w:t>
      </w:r>
      <w:r w:rsidR="00A76E45">
        <w:rPr>
          <w:b/>
          <w:color w:val="AFBD22" w:themeColor="text2"/>
          <w:sz w:val="22"/>
        </w:rPr>
        <w:t>?</w:t>
      </w:r>
    </w:p>
    <w:p w14:paraId="758DEA97" w14:textId="6FD231AC" w:rsidR="00AA235E" w:rsidRPr="0092553F" w:rsidRDefault="00A76E45" w:rsidP="007D1FFE">
      <w:pPr>
        <w:pStyle w:val="FluentText"/>
        <w:spacing w:after="60"/>
        <w:rPr>
          <w:rFonts w:cstheme="minorHAnsi"/>
          <w:color w:val="auto"/>
        </w:rPr>
      </w:pPr>
      <w:r w:rsidRPr="0092553F">
        <w:rPr>
          <w:rFonts w:cstheme="minorHAnsi"/>
          <w:color w:val="auto"/>
        </w:rPr>
        <w:t>The exemplar is based on a State Highway activity with a view of both ‘Activity Owner’ and ‘Investment Advisor’ inputs. The information view i</w:t>
      </w:r>
      <w:r w:rsidR="001B7122" w:rsidRPr="0092553F">
        <w:rPr>
          <w:rFonts w:cstheme="minorHAnsi"/>
          <w:color w:val="auto"/>
        </w:rPr>
        <w:t>s set at</w:t>
      </w:r>
      <w:r w:rsidRPr="0092553F">
        <w:rPr>
          <w:rFonts w:cstheme="minorHAnsi"/>
          <w:color w:val="auto"/>
        </w:rPr>
        <w:t xml:space="preserve"> the requirements for</w:t>
      </w:r>
      <w:r w:rsidR="001B7122" w:rsidRPr="0092553F">
        <w:rPr>
          <w:rFonts w:cstheme="minorHAnsi"/>
          <w:color w:val="auto"/>
        </w:rPr>
        <w:t xml:space="preserve"> NLTP </w:t>
      </w:r>
      <w:r w:rsidRPr="0092553F">
        <w:rPr>
          <w:rFonts w:cstheme="minorHAnsi"/>
          <w:color w:val="auto"/>
        </w:rPr>
        <w:t>inclusion; however, tips have been given for funding approval.</w:t>
      </w:r>
    </w:p>
    <w:p w14:paraId="028397EC" w14:textId="77777777" w:rsidR="00EF42E1" w:rsidRDefault="00EF42E1">
      <w:pPr>
        <w:spacing w:after="0" w:line="240" w:lineRule="auto"/>
        <w:rPr>
          <w:b/>
          <w:color w:val="AFBD22" w:themeColor="text2"/>
          <w:sz w:val="22"/>
        </w:rPr>
      </w:pPr>
      <w:r>
        <w:rPr>
          <w:b/>
          <w:color w:val="AFBD22" w:themeColor="text2"/>
          <w:sz w:val="22"/>
        </w:rPr>
        <w:br w:type="page"/>
      </w:r>
    </w:p>
    <w:p w14:paraId="2E6F2792" w14:textId="7D2EE91B" w:rsidR="00EF42E1" w:rsidRPr="00EF42E1" w:rsidRDefault="00D04A98" w:rsidP="00EF42E1">
      <w:pPr>
        <w:pStyle w:val="FluentText"/>
        <w:ind w:right="-2"/>
        <w:rPr>
          <w:b/>
          <w:color w:val="AFBD22" w:themeColor="text2"/>
          <w:sz w:val="22"/>
        </w:rPr>
      </w:pPr>
      <w:r>
        <w:rPr>
          <w:b/>
          <w:color w:val="AFBD22" w:themeColor="text2"/>
          <w:sz w:val="22"/>
        </w:rPr>
        <w:lastRenderedPageBreak/>
        <w:t>TIO New Activity Exemplar</w:t>
      </w:r>
    </w:p>
    <w:p w14:paraId="3CE69915" w14:textId="1A8D8AC6" w:rsidR="001A56B6" w:rsidRDefault="00D04A98" w:rsidP="001A56B6">
      <w:pPr>
        <w:pStyle w:val="SectionHeading"/>
      </w:pPr>
      <w:r>
        <w:rPr>
          <w:noProof/>
        </w:rPr>
        <w:drawing>
          <wp:anchor distT="0" distB="0" distL="114300" distR="114300" simplePos="0" relativeHeight="251659264" behindDoc="0" locked="0" layoutInCell="1" allowOverlap="1" wp14:anchorId="7D212725" wp14:editId="67E91028">
            <wp:simplePos x="0" y="0"/>
            <wp:positionH relativeFrom="margin">
              <wp:align>left</wp:align>
            </wp:positionH>
            <wp:positionV relativeFrom="paragraph">
              <wp:posOffset>202565</wp:posOffset>
            </wp:positionV>
            <wp:extent cx="5343276" cy="1817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60273" cy="1822910"/>
                    </a:xfrm>
                    <a:prstGeom prst="rect">
                      <a:avLst/>
                    </a:prstGeom>
                  </pic:spPr>
                </pic:pic>
              </a:graphicData>
            </a:graphic>
            <wp14:sizeRelH relativeFrom="margin">
              <wp14:pctWidth>0</wp14:pctWidth>
            </wp14:sizeRelH>
            <wp14:sizeRelV relativeFrom="margin">
              <wp14:pctHeight>0</wp14:pctHeight>
            </wp14:sizeRelV>
          </wp:anchor>
        </w:drawing>
      </w:r>
      <w:r w:rsidRPr="00D04A98">
        <w:t>Improvement activity outline</w:t>
      </w:r>
    </w:p>
    <w:p w14:paraId="367241E4" w14:textId="19FD03F5" w:rsidR="00D04A98" w:rsidRPr="00D04A98" w:rsidRDefault="00D04A98" w:rsidP="00D04A98">
      <w:pPr>
        <w:pStyle w:val="FluentText"/>
      </w:pPr>
    </w:p>
    <w:p w14:paraId="78473146" w14:textId="7C58F863" w:rsidR="004E1499" w:rsidRPr="00520664" w:rsidRDefault="004E1499" w:rsidP="004E1499">
      <w:pPr>
        <w:pStyle w:val="FluentText"/>
        <w:jc w:val="center"/>
      </w:pPr>
    </w:p>
    <w:p w14:paraId="6896CDE2" w14:textId="3B8B99BC" w:rsidR="00AA235E" w:rsidRDefault="00AA235E" w:rsidP="005E0311">
      <w:pPr>
        <w:pStyle w:val="FluentText"/>
        <w:jc w:val="center"/>
      </w:pPr>
    </w:p>
    <w:p w14:paraId="5A749543" w14:textId="09236ECA" w:rsidR="005E0311" w:rsidRPr="003C27C9" w:rsidRDefault="004E1499" w:rsidP="003C27C9">
      <w:bookmarkStart w:id="2" w:name="_Enter_forecast_data"/>
      <w:bookmarkEnd w:id="2"/>
      <w:r>
        <w:t xml:space="preserve"> </w:t>
      </w:r>
    </w:p>
    <w:p w14:paraId="54B70BD6" w14:textId="77777777" w:rsidR="00D04A98" w:rsidRDefault="00D04A98">
      <w:pPr>
        <w:spacing w:after="0" w:line="240" w:lineRule="auto"/>
      </w:pPr>
      <w:bookmarkStart w:id="3" w:name="_Automated_Upload_of"/>
      <w:bookmarkStart w:id="4" w:name="_Review_and_verify"/>
      <w:bookmarkEnd w:id="3"/>
      <w:bookmarkEnd w:id="4"/>
    </w:p>
    <w:p w14:paraId="03778D6C" w14:textId="77777777" w:rsidR="00D04A98" w:rsidRDefault="00D04A98">
      <w:pPr>
        <w:spacing w:after="0" w:line="240" w:lineRule="auto"/>
      </w:pPr>
    </w:p>
    <w:p w14:paraId="6D9621DF" w14:textId="77777777" w:rsidR="00D04A98" w:rsidRDefault="00D04A98">
      <w:pPr>
        <w:spacing w:after="0" w:line="240" w:lineRule="auto"/>
      </w:pPr>
    </w:p>
    <w:p w14:paraId="5E86DDEF" w14:textId="77777777" w:rsidR="00D04A98" w:rsidRDefault="00D04A98">
      <w:pPr>
        <w:spacing w:after="0" w:line="240" w:lineRule="auto"/>
      </w:pPr>
    </w:p>
    <w:p w14:paraId="62FC9CD5" w14:textId="77777777" w:rsidR="00D04A98" w:rsidRDefault="00D04A98">
      <w:pPr>
        <w:spacing w:after="0" w:line="240" w:lineRule="auto"/>
      </w:pPr>
    </w:p>
    <w:p w14:paraId="3B63FFA7" w14:textId="77777777" w:rsidR="00D04A98" w:rsidRDefault="00D04A98">
      <w:pPr>
        <w:spacing w:after="0" w:line="240" w:lineRule="auto"/>
      </w:pPr>
    </w:p>
    <w:p w14:paraId="4E0856F7" w14:textId="77777777" w:rsidR="00D04A98" w:rsidRDefault="00D04A98">
      <w:pPr>
        <w:spacing w:after="0" w:line="240" w:lineRule="auto"/>
      </w:pPr>
    </w:p>
    <w:p w14:paraId="7A81B16A" w14:textId="77777777" w:rsidR="00D04A98" w:rsidRDefault="00D04A98">
      <w:pPr>
        <w:spacing w:after="0" w:line="240" w:lineRule="auto"/>
      </w:pPr>
    </w:p>
    <w:p w14:paraId="398E4F13" w14:textId="77777777" w:rsidR="00D04A98" w:rsidRDefault="00D04A98">
      <w:pPr>
        <w:spacing w:after="0" w:line="240" w:lineRule="auto"/>
      </w:pPr>
    </w:p>
    <w:p w14:paraId="42F07821" w14:textId="7E81CE23" w:rsidR="00D04A98" w:rsidRDefault="00D04A98" w:rsidP="00D04A98">
      <w:pPr>
        <w:spacing w:line="240" w:lineRule="auto"/>
      </w:pPr>
      <w:r>
        <w:t xml:space="preserve">The Activity name should describe it uniquely and be meaningful to others. We recommend that the </w:t>
      </w:r>
      <w:hyperlink r:id="rId12" w:history="1">
        <w:r w:rsidRPr="00D04A98">
          <w:rPr>
            <w:rStyle w:val="Hyperlink"/>
          </w:rPr>
          <w:t>Naming Guidelines</w:t>
        </w:r>
      </w:hyperlink>
      <w:r>
        <w:t xml:space="preserve"> are used when creating your Activity name. The TIO Activity name is required to be entered to move to the next page.</w:t>
      </w:r>
    </w:p>
    <w:p w14:paraId="01BF8AE2" w14:textId="5839962E" w:rsidR="00D04A98" w:rsidRDefault="00D04A98" w:rsidP="00D04A98">
      <w:pPr>
        <w:spacing w:line="240" w:lineRule="auto"/>
      </w:pPr>
      <w:r w:rsidRPr="00D04A98">
        <w:t>Th</w:t>
      </w:r>
      <w:r>
        <w:t>e public name field</w:t>
      </w:r>
      <w:r w:rsidRPr="00D04A98">
        <w:t xml:space="preserve"> is optional and should only be completed if the activity is publicly known by a unique and meaningful name (gifted or </w:t>
      </w:r>
      <w:r w:rsidR="00D67E09" w:rsidRPr="00D67E09">
        <w:t>Māori</w:t>
      </w:r>
      <w:r w:rsidR="00D67E09">
        <w:t xml:space="preserve"> </w:t>
      </w:r>
      <w:r w:rsidRPr="00D04A98">
        <w:t>name) that is different to the "Activity name". Where possible, keep the Public Name consistent with the name of the activity included in the RLTP and LTP. This name may adapt as the activity develops.</w:t>
      </w:r>
    </w:p>
    <w:p w14:paraId="43FB5710" w14:textId="6ABB5E33" w:rsidR="00776FA8" w:rsidRPr="00776FA8" w:rsidRDefault="00776FA8" w:rsidP="00D04A98">
      <w:pPr>
        <w:spacing w:line="240" w:lineRule="auto"/>
        <w:rPr>
          <w:b/>
          <w:bCs/>
        </w:rPr>
      </w:pPr>
      <w:r w:rsidRPr="00776FA8">
        <w:rPr>
          <w:b/>
          <w:bCs/>
        </w:rPr>
        <w:t xml:space="preserve">The activity name is </w:t>
      </w:r>
      <w:r>
        <w:rPr>
          <w:b/>
          <w:bCs/>
        </w:rPr>
        <w:t xml:space="preserve">a </w:t>
      </w:r>
      <w:r w:rsidRPr="00776FA8">
        <w:rPr>
          <w:b/>
          <w:bCs/>
        </w:rPr>
        <w:t>mandatory</w:t>
      </w:r>
      <w:r>
        <w:rPr>
          <w:b/>
          <w:bCs/>
        </w:rPr>
        <w:t xml:space="preserve"> field</w:t>
      </w:r>
      <w:r w:rsidRPr="00776FA8">
        <w:rPr>
          <w:b/>
          <w:bCs/>
        </w:rPr>
        <w:t xml:space="preserve"> for Inclusion into the NLTP.</w:t>
      </w:r>
    </w:p>
    <w:p w14:paraId="4B3FA0BC" w14:textId="77777777" w:rsidR="00D04A98" w:rsidRDefault="00D04A98" w:rsidP="00D04A98">
      <w:pPr>
        <w:spacing w:after="0" w:line="240" w:lineRule="auto"/>
      </w:pPr>
    </w:p>
    <w:p w14:paraId="7C70AFB7" w14:textId="47FBAF37" w:rsidR="00D04A98" w:rsidRDefault="00D04A98" w:rsidP="00D04A98">
      <w:pPr>
        <w:spacing w:after="0" w:line="240" w:lineRule="auto"/>
      </w:pPr>
      <w:r>
        <w:rPr>
          <w:noProof/>
        </w:rPr>
        <w:drawing>
          <wp:anchor distT="0" distB="0" distL="114300" distR="114300" simplePos="0" relativeHeight="251661312" behindDoc="0" locked="0" layoutInCell="1" allowOverlap="1" wp14:anchorId="5EE185C7" wp14:editId="1D7DBDEE">
            <wp:simplePos x="0" y="0"/>
            <wp:positionH relativeFrom="margin">
              <wp:align>left</wp:align>
            </wp:positionH>
            <wp:positionV relativeFrom="paragraph">
              <wp:posOffset>3506</wp:posOffset>
            </wp:positionV>
            <wp:extent cx="5287617" cy="1026319"/>
            <wp:effectExtent l="0" t="0" r="889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87617" cy="1026319"/>
                    </a:xfrm>
                    <a:prstGeom prst="rect">
                      <a:avLst/>
                    </a:prstGeom>
                  </pic:spPr>
                </pic:pic>
              </a:graphicData>
            </a:graphic>
            <wp14:sizeRelH relativeFrom="margin">
              <wp14:pctWidth>0</wp14:pctWidth>
            </wp14:sizeRelH>
            <wp14:sizeRelV relativeFrom="margin">
              <wp14:pctHeight>0</wp14:pctHeight>
            </wp14:sizeRelV>
          </wp:anchor>
        </w:drawing>
      </w:r>
    </w:p>
    <w:p w14:paraId="6BFE5730" w14:textId="77777777" w:rsidR="00D04A98" w:rsidRDefault="00D04A98" w:rsidP="00D04A98">
      <w:pPr>
        <w:spacing w:after="0" w:line="240" w:lineRule="auto"/>
      </w:pPr>
    </w:p>
    <w:p w14:paraId="65985BFC" w14:textId="4CB0400E" w:rsidR="00D04A98" w:rsidRDefault="00D04A98" w:rsidP="00D04A98">
      <w:pPr>
        <w:spacing w:after="0" w:line="240" w:lineRule="auto"/>
      </w:pPr>
    </w:p>
    <w:p w14:paraId="24AF42BC" w14:textId="77777777" w:rsidR="00D04A98" w:rsidRDefault="00D04A98" w:rsidP="00D04A98">
      <w:pPr>
        <w:spacing w:after="0" w:line="240" w:lineRule="auto"/>
      </w:pPr>
    </w:p>
    <w:p w14:paraId="252EEB8B" w14:textId="57C8A8AC" w:rsidR="00D04A98" w:rsidRDefault="00D04A98" w:rsidP="00D04A98">
      <w:pPr>
        <w:spacing w:after="0" w:line="240" w:lineRule="auto"/>
      </w:pPr>
    </w:p>
    <w:p w14:paraId="296E2FE1" w14:textId="77777777" w:rsidR="00D04A98" w:rsidRDefault="00D04A98" w:rsidP="00D04A98">
      <w:pPr>
        <w:spacing w:after="0" w:line="240" w:lineRule="auto"/>
      </w:pPr>
    </w:p>
    <w:p w14:paraId="511DC93C" w14:textId="77777777" w:rsidR="00D04A98" w:rsidRDefault="00D04A98" w:rsidP="00D04A98">
      <w:pPr>
        <w:spacing w:after="0" w:line="240" w:lineRule="auto"/>
      </w:pPr>
    </w:p>
    <w:p w14:paraId="1F9718D1" w14:textId="01502F27" w:rsidR="00D04A98" w:rsidRDefault="00D04A98" w:rsidP="00010E9B">
      <w:pPr>
        <w:spacing w:line="240" w:lineRule="auto"/>
      </w:pPr>
      <w:r>
        <w:t>‘Your Reference’ is the organisation's own reference for the activity. This may be the WBC, SAP code or other accounting code, for example. As this is a Waka Kotahi project it is left blank as TIO links directly to the Waka Kotahi SAP system. This is not mandatory.</w:t>
      </w:r>
    </w:p>
    <w:p w14:paraId="0FFE3410" w14:textId="36415282" w:rsidR="00EF42E1" w:rsidRPr="00D04A98" w:rsidRDefault="00010E9B" w:rsidP="00010E9B">
      <w:pPr>
        <w:spacing w:line="240" w:lineRule="auto"/>
      </w:pPr>
      <w:r>
        <w:t>The ‘NTZA safety identifier’ is a u</w:t>
      </w:r>
      <w:r w:rsidRPr="00010E9B">
        <w:t>nique identifier number from the pipeline development tool.</w:t>
      </w:r>
      <w:r>
        <w:t xml:space="preserve"> </w:t>
      </w:r>
      <w:r w:rsidRPr="00010E9B">
        <w:t>Currently this is the asset id =&gt; Unique identifier number generated from a combination of the asset id, treatment philosophy and length in Pipeline Development Tool of an endorsed activity</w:t>
      </w:r>
      <w:r>
        <w:t>.</w:t>
      </w:r>
      <w:r w:rsidR="007D1FFE" w:rsidRPr="007D1FFE">
        <w:t xml:space="preserve"> The </w:t>
      </w:r>
      <w:r w:rsidR="007D1FFE">
        <w:t>NZTA safety identifier will be entered</w:t>
      </w:r>
      <w:r w:rsidR="007D1FFE" w:rsidRPr="007D1FFE">
        <w:t xml:space="preserve"> by an NZTA National user</w:t>
      </w:r>
      <w:r w:rsidR="007D1FFE">
        <w:t xml:space="preserve"> (such as an Investment Advisor)</w:t>
      </w:r>
      <w:r w:rsidR="007D1FFE" w:rsidRPr="007D1FFE">
        <w:t xml:space="preserve">, </w:t>
      </w:r>
      <w:r w:rsidR="007D1FFE">
        <w:t>to others the field will be read only</w:t>
      </w:r>
      <w:r w:rsidR="007D1FFE" w:rsidRPr="007D1FFE">
        <w:t>.</w:t>
      </w:r>
    </w:p>
    <w:p w14:paraId="65ADF73A" w14:textId="66B3C045" w:rsidR="00C476D1" w:rsidRDefault="00C476D1">
      <w:pPr>
        <w:spacing w:after="0" w:line="240" w:lineRule="auto"/>
      </w:pPr>
      <w:r>
        <w:t>All improvement activities for ‘Safety Infrastructure’, within the Road to Zero activity class, should have this u</w:t>
      </w:r>
      <w:r w:rsidRPr="00010E9B">
        <w:t>nique identifier</w:t>
      </w:r>
      <w:r>
        <w:t xml:space="preserve">, if not, the activity owner should discuss with their Investment Advisor to confirm </w:t>
      </w:r>
      <w:r w:rsidR="0092553F">
        <w:t>whether</w:t>
      </w:r>
      <w:r>
        <w:t xml:space="preserve"> the activity can be included within the Road to Zero activity class. The activity ‘SH1 Happy Gully Corridor Inter connectivity’ is not a Road to Zero activity for safety infrastructure and therefore, will not have a NZTA safety identifier.</w:t>
      </w:r>
    </w:p>
    <w:p w14:paraId="36F73933" w14:textId="77777777" w:rsidR="00C476D1" w:rsidRDefault="00C476D1">
      <w:pPr>
        <w:spacing w:after="0" w:line="240" w:lineRule="auto"/>
      </w:pPr>
      <w:r>
        <w:br w:type="page"/>
      </w:r>
    </w:p>
    <w:p w14:paraId="1C22B0FD" w14:textId="6D4F2C58" w:rsidR="00C90858" w:rsidRDefault="00C90858">
      <w:pPr>
        <w:spacing w:after="0" w:line="240" w:lineRule="auto"/>
        <w:rPr>
          <w:highlight w:val="yellow"/>
        </w:rPr>
      </w:pPr>
      <w:r>
        <w:rPr>
          <w:noProof/>
        </w:rPr>
        <w:lastRenderedPageBreak/>
        <w:drawing>
          <wp:anchor distT="0" distB="0" distL="114300" distR="114300" simplePos="0" relativeHeight="251675648" behindDoc="0" locked="0" layoutInCell="1" allowOverlap="1" wp14:anchorId="11651F83" wp14:editId="04336511">
            <wp:simplePos x="0" y="0"/>
            <wp:positionH relativeFrom="margin">
              <wp:align>left</wp:align>
            </wp:positionH>
            <wp:positionV relativeFrom="paragraph">
              <wp:posOffset>-3784</wp:posOffset>
            </wp:positionV>
            <wp:extent cx="5937662" cy="2510286"/>
            <wp:effectExtent l="0" t="0" r="635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7662" cy="2510286"/>
                    </a:xfrm>
                    <a:prstGeom prst="rect">
                      <a:avLst/>
                    </a:prstGeom>
                  </pic:spPr>
                </pic:pic>
              </a:graphicData>
            </a:graphic>
            <wp14:sizeRelH relativeFrom="margin">
              <wp14:pctWidth>0</wp14:pctWidth>
            </wp14:sizeRelH>
            <wp14:sizeRelV relativeFrom="margin">
              <wp14:pctHeight>0</wp14:pctHeight>
            </wp14:sizeRelV>
          </wp:anchor>
        </w:drawing>
      </w:r>
    </w:p>
    <w:p w14:paraId="03F01585" w14:textId="77777777" w:rsidR="00C90858" w:rsidRDefault="00C90858">
      <w:pPr>
        <w:spacing w:after="0" w:line="240" w:lineRule="auto"/>
        <w:rPr>
          <w:highlight w:val="yellow"/>
        </w:rPr>
      </w:pPr>
    </w:p>
    <w:p w14:paraId="4E7D47F9" w14:textId="77777777" w:rsidR="00C90858" w:rsidRDefault="00C90858">
      <w:pPr>
        <w:spacing w:after="0" w:line="240" w:lineRule="auto"/>
        <w:rPr>
          <w:highlight w:val="yellow"/>
        </w:rPr>
      </w:pPr>
    </w:p>
    <w:p w14:paraId="03D4079D" w14:textId="77777777" w:rsidR="00C90858" w:rsidRDefault="00C90858">
      <w:pPr>
        <w:spacing w:after="0" w:line="240" w:lineRule="auto"/>
        <w:rPr>
          <w:highlight w:val="yellow"/>
        </w:rPr>
      </w:pPr>
    </w:p>
    <w:p w14:paraId="1DBD6AEB" w14:textId="77777777" w:rsidR="00C90858" w:rsidRDefault="00C90858">
      <w:pPr>
        <w:spacing w:after="0" w:line="240" w:lineRule="auto"/>
        <w:rPr>
          <w:highlight w:val="yellow"/>
        </w:rPr>
      </w:pPr>
    </w:p>
    <w:p w14:paraId="5EEF96A4" w14:textId="77777777" w:rsidR="00C90858" w:rsidRDefault="00C90858">
      <w:pPr>
        <w:spacing w:after="0" w:line="240" w:lineRule="auto"/>
        <w:rPr>
          <w:highlight w:val="yellow"/>
        </w:rPr>
      </w:pPr>
    </w:p>
    <w:p w14:paraId="5E30DD59" w14:textId="77777777" w:rsidR="00C90858" w:rsidRDefault="00C90858">
      <w:pPr>
        <w:spacing w:after="0" w:line="240" w:lineRule="auto"/>
        <w:rPr>
          <w:highlight w:val="yellow"/>
        </w:rPr>
      </w:pPr>
    </w:p>
    <w:p w14:paraId="4484B8E5" w14:textId="77777777" w:rsidR="00C90858" w:rsidRDefault="00C90858">
      <w:pPr>
        <w:spacing w:after="0" w:line="240" w:lineRule="auto"/>
        <w:rPr>
          <w:highlight w:val="yellow"/>
        </w:rPr>
      </w:pPr>
    </w:p>
    <w:p w14:paraId="097174AC" w14:textId="77777777" w:rsidR="00C90858" w:rsidRDefault="00C90858">
      <w:pPr>
        <w:spacing w:after="0" w:line="240" w:lineRule="auto"/>
        <w:rPr>
          <w:highlight w:val="yellow"/>
        </w:rPr>
      </w:pPr>
    </w:p>
    <w:p w14:paraId="65DCC36B" w14:textId="77777777" w:rsidR="00C90858" w:rsidRDefault="00C90858">
      <w:pPr>
        <w:spacing w:after="0" w:line="240" w:lineRule="auto"/>
        <w:rPr>
          <w:highlight w:val="yellow"/>
        </w:rPr>
      </w:pPr>
    </w:p>
    <w:p w14:paraId="3407EF90" w14:textId="77777777" w:rsidR="00C90858" w:rsidRDefault="00C90858">
      <w:pPr>
        <w:spacing w:after="0" w:line="240" w:lineRule="auto"/>
        <w:rPr>
          <w:highlight w:val="yellow"/>
        </w:rPr>
      </w:pPr>
    </w:p>
    <w:p w14:paraId="17ECD9FC" w14:textId="77777777" w:rsidR="00C90858" w:rsidRDefault="00C90858">
      <w:pPr>
        <w:spacing w:after="0" w:line="240" w:lineRule="auto"/>
        <w:rPr>
          <w:highlight w:val="yellow"/>
        </w:rPr>
      </w:pPr>
    </w:p>
    <w:p w14:paraId="05919B5B" w14:textId="77777777" w:rsidR="00C90858" w:rsidRDefault="00C90858">
      <w:pPr>
        <w:spacing w:after="0" w:line="240" w:lineRule="auto"/>
        <w:rPr>
          <w:highlight w:val="yellow"/>
        </w:rPr>
      </w:pPr>
    </w:p>
    <w:p w14:paraId="617A3BF5" w14:textId="77777777" w:rsidR="00C90858" w:rsidRDefault="00C90858">
      <w:pPr>
        <w:spacing w:after="0" w:line="240" w:lineRule="auto"/>
        <w:rPr>
          <w:highlight w:val="yellow"/>
        </w:rPr>
      </w:pPr>
    </w:p>
    <w:p w14:paraId="22D695FD" w14:textId="77777777" w:rsidR="00C90858" w:rsidRDefault="00C90858">
      <w:pPr>
        <w:spacing w:after="0" w:line="240" w:lineRule="auto"/>
        <w:rPr>
          <w:highlight w:val="yellow"/>
        </w:rPr>
      </w:pPr>
    </w:p>
    <w:p w14:paraId="734E165B" w14:textId="77777777" w:rsidR="00C90858" w:rsidRDefault="00C90858">
      <w:pPr>
        <w:spacing w:after="0" w:line="240" w:lineRule="auto"/>
        <w:rPr>
          <w:highlight w:val="yellow"/>
        </w:rPr>
      </w:pPr>
    </w:p>
    <w:p w14:paraId="7E83B01A" w14:textId="77777777" w:rsidR="00C90858" w:rsidRDefault="00C90858">
      <w:pPr>
        <w:spacing w:after="0" w:line="240" w:lineRule="auto"/>
        <w:rPr>
          <w:highlight w:val="yellow"/>
        </w:rPr>
      </w:pPr>
    </w:p>
    <w:p w14:paraId="2973578E" w14:textId="254292D7" w:rsidR="00C90858" w:rsidRPr="00295286" w:rsidRDefault="00295286" w:rsidP="00C90858">
      <w:pPr>
        <w:spacing w:line="240" w:lineRule="auto"/>
      </w:pPr>
      <w:r w:rsidRPr="00295286">
        <w:t xml:space="preserve">Where the activity is supported by an existing business case, provide a link to the business case. </w:t>
      </w:r>
      <w:r w:rsidR="00C90858" w:rsidRPr="00295286">
        <w:t xml:space="preserve">The ‘SH1 Happy Gully Corridor Inter connectivity’ activity forms part of the preferred programme of the ‘SH1 Happy Gully Road Corridor’ PBC. </w:t>
      </w:r>
    </w:p>
    <w:p w14:paraId="7DAD2207" w14:textId="7442C7F2" w:rsidR="00295286" w:rsidRPr="00776FA8" w:rsidRDefault="007D1FFE" w:rsidP="00295286">
      <w:pPr>
        <w:spacing w:line="240" w:lineRule="auto"/>
        <w:rPr>
          <w:b/>
          <w:bCs/>
        </w:rPr>
      </w:pPr>
      <w:r>
        <w:rPr>
          <w:b/>
          <w:bCs/>
        </w:rPr>
        <w:t xml:space="preserve">Activities that have a previous business case phase, such as a PBC, must link to </w:t>
      </w:r>
      <w:r w:rsidR="00295286">
        <w:rPr>
          <w:b/>
          <w:bCs/>
        </w:rPr>
        <w:t xml:space="preserve">that </w:t>
      </w:r>
      <w:r w:rsidR="00295286" w:rsidRPr="00295286">
        <w:rPr>
          <w:b/>
          <w:bCs/>
        </w:rPr>
        <w:t>previous business case phase</w:t>
      </w:r>
      <w:r w:rsidR="00295286" w:rsidRPr="00776FA8">
        <w:rPr>
          <w:b/>
          <w:bCs/>
        </w:rPr>
        <w:t xml:space="preserve"> for </w:t>
      </w:r>
      <w:r w:rsidR="00EC0CE3">
        <w:rPr>
          <w:b/>
          <w:bCs/>
        </w:rPr>
        <w:t>i</w:t>
      </w:r>
      <w:r w:rsidR="00295286" w:rsidRPr="00776FA8">
        <w:rPr>
          <w:b/>
          <w:bCs/>
        </w:rPr>
        <w:t>nclusion into the NLTP.</w:t>
      </w:r>
    </w:p>
    <w:p w14:paraId="517AC60E" w14:textId="5BDD5283" w:rsidR="00C90858" w:rsidRPr="00295286" w:rsidRDefault="00C90858" w:rsidP="00295286">
      <w:pPr>
        <w:spacing w:line="240" w:lineRule="auto"/>
      </w:pPr>
      <w:r w:rsidRPr="00295286">
        <w:t xml:space="preserve">As the PBC, through its Management Case, clearly outlines risks, uncertainties &amp; complexity of the investment and the business case next steps including activity level business cases requirements, timeframes and resource requirements, an activity level point of entry is not </w:t>
      </w:r>
      <w:r w:rsidR="00295286" w:rsidRPr="00295286">
        <w:t xml:space="preserve">required to be completed. However, </w:t>
      </w:r>
      <w:r w:rsidR="001E0910" w:rsidRPr="00295286">
        <w:t>if</w:t>
      </w:r>
      <w:r w:rsidR="00295286" w:rsidRPr="00295286">
        <w:t xml:space="preserve"> this </w:t>
      </w:r>
      <w:r w:rsidR="00751F34">
        <w:t>is</w:t>
      </w:r>
      <w:r w:rsidR="00751F34" w:rsidRPr="00295286">
        <w:t xml:space="preserve"> </w:t>
      </w:r>
      <w:r w:rsidR="00295286" w:rsidRPr="00295286">
        <w:t>not the case, a point of entry could be completed for the activity to record the pathway to be followed through investment decision making processes and to consider the full range of risks, timeframes and costs for the investment. If required, the completed Record of Point of Entry needs to be attached in TIO for funding approval.</w:t>
      </w:r>
    </w:p>
    <w:p w14:paraId="41900888" w14:textId="06C44706" w:rsidR="00C476D1" w:rsidRDefault="0041492A">
      <w:pPr>
        <w:spacing w:after="0" w:line="240" w:lineRule="auto"/>
      </w:pPr>
      <w:r>
        <w:rPr>
          <w:noProof/>
        </w:rPr>
        <w:drawing>
          <wp:anchor distT="0" distB="0" distL="114300" distR="114300" simplePos="0" relativeHeight="251671552" behindDoc="0" locked="0" layoutInCell="1" allowOverlap="1" wp14:anchorId="78FDD778" wp14:editId="32E55B4A">
            <wp:simplePos x="0" y="0"/>
            <wp:positionH relativeFrom="margin">
              <wp:align>left</wp:align>
            </wp:positionH>
            <wp:positionV relativeFrom="paragraph">
              <wp:posOffset>145084</wp:posOffset>
            </wp:positionV>
            <wp:extent cx="5907819" cy="1983161"/>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07819" cy="1983161"/>
                    </a:xfrm>
                    <a:prstGeom prst="rect">
                      <a:avLst/>
                    </a:prstGeom>
                  </pic:spPr>
                </pic:pic>
              </a:graphicData>
            </a:graphic>
            <wp14:sizeRelH relativeFrom="margin">
              <wp14:pctWidth>0</wp14:pctWidth>
            </wp14:sizeRelH>
            <wp14:sizeRelV relativeFrom="margin">
              <wp14:pctHeight>0</wp14:pctHeight>
            </wp14:sizeRelV>
          </wp:anchor>
        </w:drawing>
      </w:r>
    </w:p>
    <w:p w14:paraId="2AB592E8" w14:textId="1C9B2417" w:rsidR="00C476D1" w:rsidRDefault="00C476D1">
      <w:pPr>
        <w:spacing w:after="0" w:line="240" w:lineRule="auto"/>
      </w:pPr>
    </w:p>
    <w:p w14:paraId="106ABC17" w14:textId="542AE990" w:rsidR="00C476D1" w:rsidRDefault="00C476D1">
      <w:pPr>
        <w:spacing w:after="0" w:line="240" w:lineRule="auto"/>
      </w:pPr>
    </w:p>
    <w:p w14:paraId="4DB9A0AA" w14:textId="77777777" w:rsidR="00C476D1" w:rsidRDefault="00C476D1">
      <w:pPr>
        <w:spacing w:after="0" w:line="240" w:lineRule="auto"/>
      </w:pPr>
    </w:p>
    <w:p w14:paraId="1DC71DA6" w14:textId="77777777" w:rsidR="00C476D1" w:rsidRDefault="00C476D1">
      <w:pPr>
        <w:spacing w:after="0" w:line="240" w:lineRule="auto"/>
      </w:pPr>
    </w:p>
    <w:p w14:paraId="46032FBB" w14:textId="77777777" w:rsidR="00776FA8" w:rsidRDefault="00776FA8">
      <w:pPr>
        <w:spacing w:after="0" w:line="240" w:lineRule="auto"/>
      </w:pPr>
    </w:p>
    <w:p w14:paraId="6D842545" w14:textId="77777777" w:rsidR="00776FA8" w:rsidRDefault="00776FA8">
      <w:pPr>
        <w:spacing w:after="0" w:line="240" w:lineRule="auto"/>
      </w:pPr>
    </w:p>
    <w:p w14:paraId="10DE6420" w14:textId="77777777" w:rsidR="00776FA8" w:rsidRDefault="00776FA8">
      <w:pPr>
        <w:spacing w:after="0" w:line="240" w:lineRule="auto"/>
      </w:pPr>
    </w:p>
    <w:p w14:paraId="123DDA90" w14:textId="77777777" w:rsidR="00776FA8" w:rsidRDefault="00776FA8">
      <w:pPr>
        <w:spacing w:after="0" w:line="240" w:lineRule="auto"/>
      </w:pPr>
    </w:p>
    <w:p w14:paraId="32378EB3" w14:textId="77777777" w:rsidR="00776FA8" w:rsidRDefault="00776FA8">
      <w:pPr>
        <w:spacing w:after="0" w:line="240" w:lineRule="auto"/>
      </w:pPr>
    </w:p>
    <w:p w14:paraId="3D4C8A93" w14:textId="77777777" w:rsidR="00776FA8" w:rsidRDefault="00776FA8">
      <w:pPr>
        <w:spacing w:after="0" w:line="240" w:lineRule="auto"/>
      </w:pPr>
    </w:p>
    <w:p w14:paraId="3BF460C6" w14:textId="77777777" w:rsidR="00776FA8" w:rsidRDefault="00776FA8">
      <w:pPr>
        <w:spacing w:after="0" w:line="240" w:lineRule="auto"/>
      </w:pPr>
    </w:p>
    <w:p w14:paraId="68A3D685" w14:textId="77777777" w:rsidR="00776FA8" w:rsidRDefault="00776FA8">
      <w:pPr>
        <w:spacing w:after="0" w:line="240" w:lineRule="auto"/>
      </w:pPr>
    </w:p>
    <w:p w14:paraId="1CDC0C3B" w14:textId="77777777" w:rsidR="00776FA8" w:rsidRDefault="00776FA8">
      <w:pPr>
        <w:spacing w:after="0" w:line="240" w:lineRule="auto"/>
      </w:pPr>
    </w:p>
    <w:p w14:paraId="36768670" w14:textId="77777777" w:rsidR="00776FA8" w:rsidRDefault="00776FA8">
      <w:pPr>
        <w:spacing w:after="0" w:line="240" w:lineRule="auto"/>
      </w:pPr>
    </w:p>
    <w:p w14:paraId="3CCB0A6E" w14:textId="3667FF5F" w:rsidR="00776FA8" w:rsidRDefault="00776FA8" w:rsidP="00776FA8">
      <w:pPr>
        <w:spacing w:line="240" w:lineRule="auto"/>
      </w:pPr>
      <w:r w:rsidRPr="00776FA8">
        <w:t>The strategic context establishes how well the activity/combination of activities aligns with local, regional and national priorities, other programmes and/or strategies, and other organisations’ priorities or programmes (such as housing or industrial developments), if relevant. It considers the alignment with spatial plans and/or integrated transport and land use plans.</w:t>
      </w:r>
    </w:p>
    <w:p w14:paraId="268186BE" w14:textId="255E5C90" w:rsidR="00776FA8" w:rsidRDefault="00776FA8" w:rsidP="00776FA8">
      <w:pPr>
        <w:spacing w:line="240" w:lineRule="auto"/>
      </w:pPr>
      <w:r>
        <w:lastRenderedPageBreak/>
        <w:t xml:space="preserve">The strategic context should also include a brief description of the activity which should include what </w:t>
      </w:r>
      <w:r w:rsidR="00A74ACA">
        <w:t xml:space="preserve">outcomes the </w:t>
      </w:r>
      <w:r>
        <w:t xml:space="preserve">activity will deliver and the proposed output of the </w:t>
      </w:r>
      <w:r w:rsidR="007D1FFE">
        <w:t>activity</w:t>
      </w:r>
      <w:r w:rsidR="001E0910">
        <w:t>, not</w:t>
      </w:r>
      <w:r>
        <w:t xml:space="preserve"> on the current phase. The description may need to adapt as the business case progresses. </w:t>
      </w:r>
    </w:p>
    <w:p w14:paraId="53C11E2F" w14:textId="18900789" w:rsidR="00776FA8" w:rsidRPr="00776FA8" w:rsidRDefault="00776FA8" w:rsidP="00776FA8">
      <w:pPr>
        <w:spacing w:line="240" w:lineRule="auto"/>
        <w:rPr>
          <w:b/>
          <w:bCs/>
        </w:rPr>
      </w:pPr>
      <w:r w:rsidRPr="00776FA8">
        <w:rPr>
          <w:b/>
          <w:bCs/>
        </w:rPr>
        <w:t xml:space="preserve">The </w:t>
      </w:r>
      <w:r>
        <w:rPr>
          <w:b/>
          <w:bCs/>
        </w:rPr>
        <w:t>‘Strategic Context’</w:t>
      </w:r>
      <w:r w:rsidRPr="00776FA8">
        <w:rPr>
          <w:b/>
          <w:bCs/>
        </w:rPr>
        <w:t xml:space="preserve"> is</w:t>
      </w:r>
      <w:r>
        <w:rPr>
          <w:b/>
          <w:bCs/>
        </w:rPr>
        <w:t xml:space="preserve"> a</w:t>
      </w:r>
      <w:r w:rsidRPr="00776FA8">
        <w:rPr>
          <w:b/>
          <w:bCs/>
        </w:rPr>
        <w:t xml:space="preserve"> mandatory</w:t>
      </w:r>
      <w:r>
        <w:rPr>
          <w:b/>
          <w:bCs/>
        </w:rPr>
        <w:t xml:space="preserve"> field</w:t>
      </w:r>
      <w:r w:rsidRPr="00776FA8">
        <w:rPr>
          <w:b/>
          <w:bCs/>
        </w:rPr>
        <w:t xml:space="preserve"> for Inclusion into the NLTP.</w:t>
      </w:r>
    </w:p>
    <w:p w14:paraId="410E0CF3" w14:textId="386C5FBF" w:rsidR="00674AFD" w:rsidRDefault="00776FA8" w:rsidP="00776FA8">
      <w:pPr>
        <w:spacing w:after="0" w:line="240" w:lineRule="auto"/>
        <w:rPr>
          <w:noProof/>
        </w:rPr>
      </w:pPr>
      <w:r>
        <w:t>.</w:t>
      </w:r>
      <w:r w:rsidRPr="00776FA8">
        <w:rPr>
          <w:noProof/>
        </w:rPr>
        <w:t xml:space="preserve"> </w:t>
      </w:r>
    </w:p>
    <w:p w14:paraId="00061ECD" w14:textId="274FBF8A" w:rsidR="00776FA8" w:rsidRDefault="00776FA8" w:rsidP="00776FA8">
      <w:pPr>
        <w:spacing w:after="0" w:line="240" w:lineRule="auto"/>
      </w:pPr>
      <w:r>
        <w:rPr>
          <w:noProof/>
        </w:rPr>
        <w:drawing>
          <wp:anchor distT="0" distB="0" distL="114300" distR="114300" simplePos="0" relativeHeight="251665408" behindDoc="0" locked="0" layoutInCell="1" allowOverlap="1" wp14:anchorId="551B40C6" wp14:editId="53F3EDD7">
            <wp:simplePos x="0" y="0"/>
            <wp:positionH relativeFrom="margin">
              <wp:align>left</wp:align>
            </wp:positionH>
            <wp:positionV relativeFrom="paragraph">
              <wp:posOffset>11706</wp:posOffset>
            </wp:positionV>
            <wp:extent cx="6170212" cy="2192386"/>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21597" cy="2210644"/>
                    </a:xfrm>
                    <a:prstGeom prst="rect">
                      <a:avLst/>
                    </a:prstGeom>
                  </pic:spPr>
                </pic:pic>
              </a:graphicData>
            </a:graphic>
            <wp14:sizeRelH relativeFrom="margin">
              <wp14:pctWidth>0</wp14:pctWidth>
            </wp14:sizeRelH>
            <wp14:sizeRelV relativeFrom="margin">
              <wp14:pctHeight>0</wp14:pctHeight>
            </wp14:sizeRelV>
          </wp:anchor>
        </w:drawing>
      </w:r>
    </w:p>
    <w:p w14:paraId="59000F9A" w14:textId="7125E577" w:rsidR="00776FA8" w:rsidRDefault="00776FA8" w:rsidP="00776FA8">
      <w:pPr>
        <w:spacing w:after="0" w:line="240" w:lineRule="auto"/>
      </w:pPr>
    </w:p>
    <w:p w14:paraId="6B2EF57F" w14:textId="054AF2C2" w:rsidR="00776FA8" w:rsidRDefault="00776FA8" w:rsidP="00776FA8">
      <w:pPr>
        <w:spacing w:after="0" w:line="240" w:lineRule="auto"/>
      </w:pPr>
    </w:p>
    <w:p w14:paraId="54C8DF0F" w14:textId="77777777" w:rsidR="00776FA8" w:rsidRDefault="00776FA8" w:rsidP="00776FA8">
      <w:pPr>
        <w:spacing w:after="0" w:line="240" w:lineRule="auto"/>
      </w:pPr>
    </w:p>
    <w:p w14:paraId="6D30EE37" w14:textId="77777777" w:rsidR="00776FA8" w:rsidRDefault="00776FA8" w:rsidP="00776FA8">
      <w:pPr>
        <w:spacing w:after="0" w:line="240" w:lineRule="auto"/>
      </w:pPr>
    </w:p>
    <w:p w14:paraId="048AF323" w14:textId="77777777" w:rsidR="00776FA8" w:rsidRDefault="00776FA8" w:rsidP="00776FA8">
      <w:pPr>
        <w:spacing w:after="0" w:line="240" w:lineRule="auto"/>
      </w:pPr>
    </w:p>
    <w:p w14:paraId="0B221FB7" w14:textId="77777777" w:rsidR="00776FA8" w:rsidRDefault="00776FA8" w:rsidP="00776FA8">
      <w:pPr>
        <w:spacing w:after="0" w:line="240" w:lineRule="auto"/>
      </w:pPr>
    </w:p>
    <w:p w14:paraId="7AB91D71" w14:textId="77777777" w:rsidR="00776FA8" w:rsidRDefault="00776FA8" w:rsidP="00776FA8">
      <w:pPr>
        <w:spacing w:after="0" w:line="240" w:lineRule="auto"/>
      </w:pPr>
    </w:p>
    <w:p w14:paraId="107BB891" w14:textId="77777777" w:rsidR="00776FA8" w:rsidRDefault="00776FA8" w:rsidP="00776FA8">
      <w:pPr>
        <w:spacing w:after="0" w:line="240" w:lineRule="auto"/>
      </w:pPr>
    </w:p>
    <w:p w14:paraId="22E137F9" w14:textId="77777777" w:rsidR="00776FA8" w:rsidRDefault="00776FA8" w:rsidP="00776FA8">
      <w:pPr>
        <w:spacing w:after="0" w:line="240" w:lineRule="auto"/>
      </w:pPr>
    </w:p>
    <w:p w14:paraId="1ACCA208" w14:textId="77777777" w:rsidR="00776FA8" w:rsidRDefault="00776FA8" w:rsidP="00776FA8">
      <w:pPr>
        <w:spacing w:after="0" w:line="240" w:lineRule="auto"/>
      </w:pPr>
    </w:p>
    <w:p w14:paraId="7F1D9867" w14:textId="77777777" w:rsidR="00776FA8" w:rsidRDefault="00776FA8" w:rsidP="00776FA8">
      <w:pPr>
        <w:spacing w:after="0" w:line="240" w:lineRule="auto"/>
      </w:pPr>
    </w:p>
    <w:p w14:paraId="3CA68DAA" w14:textId="77777777" w:rsidR="00776FA8" w:rsidRDefault="00776FA8" w:rsidP="00776FA8">
      <w:pPr>
        <w:spacing w:after="0" w:line="240" w:lineRule="auto"/>
      </w:pPr>
    </w:p>
    <w:p w14:paraId="7F662E24" w14:textId="77777777" w:rsidR="00776FA8" w:rsidRDefault="00776FA8" w:rsidP="00776FA8">
      <w:pPr>
        <w:spacing w:after="0" w:line="240" w:lineRule="auto"/>
      </w:pPr>
    </w:p>
    <w:p w14:paraId="75CC0147" w14:textId="77777777" w:rsidR="00776FA8" w:rsidRDefault="00776FA8" w:rsidP="00776FA8">
      <w:pPr>
        <w:spacing w:after="0" w:line="240" w:lineRule="auto"/>
      </w:pPr>
    </w:p>
    <w:p w14:paraId="49D75725" w14:textId="77777777" w:rsidR="00776FA8" w:rsidRDefault="00776FA8" w:rsidP="00776FA8">
      <w:pPr>
        <w:spacing w:after="0" w:line="240" w:lineRule="auto"/>
      </w:pPr>
    </w:p>
    <w:p w14:paraId="288ED156" w14:textId="77777777" w:rsidR="00674AFD" w:rsidRDefault="00674AFD" w:rsidP="00674AFD">
      <w:pPr>
        <w:spacing w:line="240" w:lineRule="auto"/>
      </w:pPr>
      <w:r>
        <w:t xml:space="preserve">Requires a </w:t>
      </w:r>
      <w:r w:rsidRPr="00674AFD">
        <w:t>statement of the problem that the activity will address, or the opportunity that the activity will pursue. The statement should include the cause or opportunity and the consequence of addressing it, including the degree of impact to users, particularly due to availability (or not) of alternatives.</w:t>
      </w:r>
      <w:r w:rsidR="00776FA8" w:rsidRPr="00776FA8">
        <w:t xml:space="preserve"> This may arise out of the ILM, for example.</w:t>
      </w:r>
      <w:r w:rsidR="00776FA8">
        <w:t xml:space="preserve"> </w:t>
      </w:r>
    </w:p>
    <w:p w14:paraId="0A01AB49" w14:textId="0E858F44" w:rsidR="00674AFD" w:rsidRPr="00776FA8" w:rsidRDefault="00674AFD" w:rsidP="00674AFD">
      <w:pPr>
        <w:spacing w:line="240" w:lineRule="auto"/>
        <w:rPr>
          <w:b/>
          <w:bCs/>
        </w:rPr>
      </w:pPr>
      <w:r w:rsidRPr="00776FA8">
        <w:rPr>
          <w:b/>
          <w:bCs/>
        </w:rPr>
        <w:t xml:space="preserve">The </w:t>
      </w:r>
      <w:r>
        <w:rPr>
          <w:b/>
          <w:bCs/>
        </w:rPr>
        <w:t>‘</w:t>
      </w:r>
      <w:r w:rsidRPr="00674AFD">
        <w:rPr>
          <w:b/>
          <w:bCs/>
        </w:rPr>
        <w:t>Problem/Opportunity</w:t>
      </w:r>
      <w:r>
        <w:rPr>
          <w:b/>
          <w:bCs/>
        </w:rPr>
        <w:t>’</w:t>
      </w:r>
      <w:r w:rsidRPr="00776FA8">
        <w:rPr>
          <w:b/>
          <w:bCs/>
        </w:rPr>
        <w:t xml:space="preserve"> is</w:t>
      </w:r>
      <w:r>
        <w:rPr>
          <w:b/>
          <w:bCs/>
        </w:rPr>
        <w:t xml:space="preserve"> a</w:t>
      </w:r>
      <w:r w:rsidRPr="00776FA8">
        <w:rPr>
          <w:b/>
          <w:bCs/>
        </w:rPr>
        <w:t xml:space="preserve"> mandatory</w:t>
      </w:r>
      <w:r>
        <w:rPr>
          <w:b/>
          <w:bCs/>
        </w:rPr>
        <w:t xml:space="preserve"> field</w:t>
      </w:r>
      <w:r w:rsidRPr="00776FA8">
        <w:rPr>
          <w:b/>
          <w:bCs/>
        </w:rPr>
        <w:t xml:space="preserve"> for Inclusion into the NLTP.</w:t>
      </w:r>
    </w:p>
    <w:p w14:paraId="090084A8" w14:textId="7F985C87" w:rsidR="00674AFD" w:rsidRDefault="00674AFD" w:rsidP="00776FA8">
      <w:pPr>
        <w:spacing w:after="0" w:line="240" w:lineRule="auto"/>
      </w:pPr>
    </w:p>
    <w:p w14:paraId="671B2C1F" w14:textId="40BBA49C" w:rsidR="0044051A" w:rsidRDefault="0044051A">
      <w:pPr>
        <w:spacing w:after="0" w:line="240" w:lineRule="auto"/>
      </w:pPr>
      <w:r>
        <w:br w:type="page"/>
      </w:r>
    </w:p>
    <w:p w14:paraId="79A6DC72" w14:textId="77777777" w:rsidR="00295286" w:rsidRDefault="00295286" w:rsidP="00776FA8">
      <w:pPr>
        <w:spacing w:after="0" w:line="240" w:lineRule="auto"/>
      </w:pPr>
    </w:p>
    <w:p w14:paraId="61B29F22" w14:textId="5F6AE9AF" w:rsidR="00295286" w:rsidRDefault="00B367FD" w:rsidP="00776FA8">
      <w:pPr>
        <w:spacing w:after="0" w:line="240" w:lineRule="auto"/>
      </w:pPr>
      <w:r>
        <w:rPr>
          <w:noProof/>
        </w:rPr>
        <w:drawing>
          <wp:anchor distT="0" distB="0" distL="114300" distR="114300" simplePos="0" relativeHeight="251681792" behindDoc="0" locked="0" layoutInCell="1" allowOverlap="1" wp14:anchorId="36165B1E" wp14:editId="2393BD10">
            <wp:simplePos x="0" y="0"/>
            <wp:positionH relativeFrom="margin">
              <wp:align>left</wp:align>
            </wp:positionH>
            <wp:positionV relativeFrom="paragraph">
              <wp:posOffset>147048</wp:posOffset>
            </wp:positionV>
            <wp:extent cx="7908966" cy="4411271"/>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908966" cy="4411271"/>
                    </a:xfrm>
                    <a:prstGeom prst="rect">
                      <a:avLst/>
                    </a:prstGeom>
                  </pic:spPr>
                </pic:pic>
              </a:graphicData>
            </a:graphic>
            <wp14:sizeRelH relativeFrom="margin">
              <wp14:pctWidth>0</wp14:pctWidth>
            </wp14:sizeRelH>
            <wp14:sizeRelV relativeFrom="margin">
              <wp14:pctHeight>0</wp14:pctHeight>
            </wp14:sizeRelV>
          </wp:anchor>
        </w:drawing>
      </w:r>
    </w:p>
    <w:p w14:paraId="513ADE0E" w14:textId="138E915A" w:rsidR="00295286" w:rsidRDefault="00295286" w:rsidP="00776FA8">
      <w:pPr>
        <w:spacing w:after="0" w:line="240" w:lineRule="auto"/>
      </w:pPr>
    </w:p>
    <w:p w14:paraId="0A8B2107" w14:textId="1679B80C" w:rsidR="00295286" w:rsidRDefault="00295286" w:rsidP="00776FA8">
      <w:pPr>
        <w:spacing w:after="0" w:line="240" w:lineRule="auto"/>
      </w:pPr>
    </w:p>
    <w:p w14:paraId="161DC664" w14:textId="7766C7CD" w:rsidR="00295286" w:rsidRDefault="00295286" w:rsidP="00776FA8">
      <w:pPr>
        <w:spacing w:after="0" w:line="240" w:lineRule="auto"/>
      </w:pPr>
    </w:p>
    <w:p w14:paraId="230C04C4" w14:textId="77777777" w:rsidR="0044051A" w:rsidRDefault="0044051A">
      <w:pPr>
        <w:spacing w:after="0" w:line="240" w:lineRule="auto"/>
      </w:pPr>
    </w:p>
    <w:p w14:paraId="19C338C3" w14:textId="77777777" w:rsidR="0044051A" w:rsidRDefault="0044051A">
      <w:pPr>
        <w:spacing w:after="0" w:line="240" w:lineRule="auto"/>
      </w:pPr>
    </w:p>
    <w:p w14:paraId="56A415F5" w14:textId="77777777" w:rsidR="0044051A" w:rsidRDefault="0044051A">
      <w:pPr>
        <w:spacing w:after="0" w:line="240" w:lineRule="auto"/>
      </w:pPr>
    </w:p>
    <w:p w14:paraId="2D6DF6EF" w14:textId="77777777" w:rsidR="0044051A" w:rsidRDefault="0044051A">
      <w:pPr>
        <w:spacing w:after="0" w:line="240" w:lineRule="auto"/>
      </w:pPr>
    </w:p>
    <w:p w14:paraId="1812BE4C" w14:textId="77777777" w:rsidR="0044051A" w:rsidRDefault="0044051A">
      <w:pPr>
        <w:spacing w:after="0" w:line="240" w:lineRule="auto"/>
      </w:pPr>
    </w:p>
    <w:p w14:paraId="054EA5A2" w14:textId="77777777" w:rsidR="0044051A" w:rsidRDefault="0044051A">
      <w:pPr>
        <w:spacing w:after="0" w:line="240" w:lineRule="auto"/>
      </w:pPr>
    </w:p>
    <w:p w14:paraId="4AF27EA7" w14:textId="77777777" w:rsidR="0044051A" w:rsidRDefault="0044051A">
      <w:pPr>
        <w:spacing w:after="0" w:line="240" w:lineRule="auto"/>
      </w:pPr>
    </w:p>
    <w:p w14:paraId="77F8219F" w14:textId="77777777" w:rsidR="0044051A" w:rsidRDefault="0044051A">
      <w:pPr>
        <w:spacing w:after="0" w:line="240" w:lineRule="auto"/>
      </w:pPr>
    </w:p>
    <w:p w14:paraId="6DA0C1AB" w14:textId="77777777" w:rsidR="0044051A" w:rsidRDefault="0044051A">
      <w:pPr>
        <w:spacing w:after="0" w:line="240" w:lineRule="auto"/>
      </w:pPr>
    </w:p>
    <w:p w14:paraId="7237661C" w14:textId="77777777" w:rsidR="0044051A" w:rsidRDefault="0044051A">
      <w:pPr>
        <w:spacing w:after="0" w:line="240" w:lineRule="auto"/>
      </w:pPr>
    </w:p>
    <w:p w14:paraId="2996AB97" w14:textId="77777777" w:rsidR="0044051A" w:rsidRDefault="0044051A">
      <w:pPr>
        <w:spacing w:after="0" w:line="240" w:lineRule="auto"/>
      </w:pPr>
    </w:p>
    <w:p w14:paraId="300BDD5E" w14:textId="77777777" w:rsidR="0044051A" w:rsidRDefault="0044051A">
      <w:pPr>
        <w:spacing w:after="0" w:line="240" w:lineRule="auto"/>
      </w:pPr>
    </w:p>
    <w:p w14:paraId="515C7A2D" w14:textId="77777777" w:rsidR="0044051A" w:rsidRDefault="0044051A">
      <w:pPr>
        <w:spacing w:after="0" w:line="240" w:lineRule="auto"/>
      </w:pPr>
    </w:p>
    <w:p w14:paraId="0A1F0634" w14:textId="77777777" w:rsidR="0044051A" w:rsidRDefault="0044051A">
      <w:pPr>
        <w:spacing w:after="0" w:line="240" w:lineRule="auto"/>
      </w:pPr>
    </w:p>
    <w:p w14:paraId="51D92F00" w14:textId="77777777" w:rsidR="0044051A" w:rsidRDefault="0044051A">
      <w:pPr>
        <w:spacing w:after="0" w:line="240" w:lineRule="auto"/>
      </w:pPr>
    </w:p>
    <w:p w14:paraId="01837A16" w14:textId="77777777" w:rsidR="0044051A" w:rsidRDefault="0044051A">
      <w:pPr>
        <w:spacing w:after="0" w:line="240" w:lineRule="auto"/>
      </w:pPr>
    </w:p>
    <w:p w14:paraId="163DA3F8" w14:textId="77777777" w:rsidR="0044051A" w:rsidRDefault="0044051A">
      <w:pPr>
        <w:spacing w:after="0" w:line="240" w:lineRule="auto"/>
      </w:pPr>
    </w:p>
    <w:p w14:paraId="79C54FE2" w14:textId="77777777" w:rsidR="0044051A" w:rsidRDefault="0044051A">
      <w:pPr>
        <w:spacing w:after="0" w:line="240" w:lineRule="auto"/>
      </w:pPr>
    </w:p>
    <w:p w14:paraId="259C6E54" w14:textId="77777777" w:rsidR="0044051A" w:rsidRDefault="0044051A">
      <w:pPr>
        <w:spacing w:after="0" w:line="240" w:lineRule="auto"/>
      </w:pPr>
    </w:p>
    <w:p w14:paraId="4CA2550A" w14:textId="77777777" w:rsidR="0044051A" w:rsidRDefault="0044051A">
      <w:pPr>
        <w:spacing w:after="0" w:line="240" w:lineRule="auto"/>
      </w:pPr>
    </w:p>
    <w:p w14:paraId="7E79545E" w14:textId="77777777" w:rsidR="0044051A" w:rsidRDefault="0044051A">
      <w:pPr>
        <w:spacing w:after="0" w:line="240" w:lineRule="auto"/>
      </w:pPr>
    </w:p>
    <w:p w14:paraId="06D530ED" w14:textId="77777777" w:rsidR="0044051A" w:rsidRDefault="0044051A">
      <w:pPr>
        <w:spacing w:after="0" w:line="240" w:lineRule="auto"/>
      </w:pPr>
    </w:p>
    <w:p w14:paraId="373E9195" w14:textId="77777777" w:rsidR="0044051A" w:rsidRDefault="0044051A">
      <w:pPr>
        <w:spacing w:after="0" w:line="240" w:lineRule="auto"/>
      </w:pPr>
    </w:p>
    <w:p w14:paraId="6DAF2677" w14:textId="77777777" w:rsidR="0044051A" w:rsidRDefault="0044051A">
      <w:pPr>
        <w:spacing w:after="0" w:line="240" w:lineRule="auto"/>
      </w:pPr>
    </w:p>
    <w:p w14:paraId="4DAD4BA9" w14:textId="77777777" w:rsidR="0044051A" w:rsidRDefault="0044051A">
      <w:pPr>
        <w:spacing w:after="0" w:line="240" w:lineRule="auto"/>
      </w:pPr>
    </w:p>
    <w:p w14:paraId="06757B70" w14:textId="77777777" w:rsidR="0044051A" w:rsidRDefault="0044051A">
      <w:pPr>
        <w:spacing w:after="0" w:line="240" w:lineRule="auto"/>
      </w:pPr>
    </w:p>
    <w:p w14:paraId="665511EA" w14:textId="77777777" w:rsidR="0044051A" w:rsidRDefault="0044051A">
      <w:pPr>
        <w:spacing w:after="0" w:line="240" w:lineRule="auto"/>
      </w:pPr>
    </w:p>
    <w:p w14:paraId="6F18A0F3" w14:textId="77777777" w:rsidR="0044051A" w:rsidRDefault="0044051A">
      <w:pPr>
        <w:spacing w:after="0" w:line="240" w:lineRule="auto"/>
      </w:pPr>
    </w:p>
    <w:p w14:paraId="6BB97F09" w14:textId="2A74EFA3" w:rsidR="00674AFD" w:rsidRDefault="0044051A" w:rsidP="0044051A">
      <w:pPr>
        <w:spacing w:line="240" w:lineRule="auto"/>
      </w:pPr>
      <w:r>
        <w:t>RLTP objectives and priorities are set by regional councils and unitary authorities which come into effect once the RTC approves the RLTP document. RTCs enter their RLTP objectives and priorities into TIO which then makes these objectives and priorities visible for new improvement activities within the region. The functionality was designed to provide greater transparency in how activities within the region aligns to the RLTP and to ensure RLTP prioritisation is considered.</w:t>
      </w:r>
    </w:p>
    <w:p w14:paraId="63F41069" w14:textId="40CE64FE" w:rsidR="0044051A" w:rsidRPr="0044051A" w:rsidRDefault="007D1FFE" w:rsidP="0044051A">
      <w:pPr>
        <w:spacing w:line="240" w:lineRule="auto"/>
        <w:rPr>
          <w:b/>
          <w:bCs/>
        </w:rPr>
      </w:pPr>
      <w:r>
        <w:rPr>
          <w:b/>
          <w:bCs/>
        </w:rPr>
        <w:t>Selection of at least one</w:t>
      </w:r>
      <w:r w:rsidR="0044051A" w:rsidRPr="0044051A">
        <w:rPr>
          <w:b/>
          <w:bCs/>
        </w:rPr>
        <w:t xml:space="preserve"> RLTP Objective and </w:t>
      </w:r>
      <w:r>
        <w:rPr>
          <w:b/>
          <w:bCs/>
        </w:rPr>
        <w:t xml:space="preserve">one </w:t>
      </w:r>
      <w:r w:rsidR="0044051A" w:rsidRPr="0044051A">
        <w:rPr>
          <w:b/>
          <w:bCs/>
        </w:rPr>
        <w:t>RLTP Strategic Priorit</w:t>
      </w:r>
      <w:r>
        <w:rPr>
          <w:b/>
          <w:bCs/>
        </w:rPr>
        <w:t xml:space="preserve">y is </w:t>
      </w:r>
      <w:r w:rsidR="0044051A" w:rsidRPr="0044051A">
        <w:rPr>
          <w:b/>
          <w:bCs/>
        </w:rPr>
        <w:t>mandatory for NLTP inclusion.</w:t>
      </w:r>
      <w:r w:rsidR="0044051A">
        <w:br w:type="page"/>
      </w:r>
    </w:p>
    <w:p w14:paraId="6F73D705" w14:textId="043442D1" w:rsidR="00674AFD" w:rsidRDefault="00674AFD" w:rsidP="00674AFD">
      <w:pPr>
        <w:pStyle w:val="SectionHeading"/>
      </w:pPr>
      <w:r>
        <w:lastRenderedPageBreak/>
        <w:t>Benefits and Measures</w:t>
      </w:r>
    </w:p>
    <w:p w14:paraId="6583D6E1" w14:textId="687C5C94" w:rsidR="00674AFD" w:rsidRDefault="00674AFD" w:rsidP="00776FA8">
      <w:pPr>
        <w:spacing w:after="0" w:line="240" w:lineRule="auto"/>
      </w:pPr>
    </w:p>
    <w:p w14:paraId="6A51314C" w14:textId="3EBD2976" w:rsidR="00674AFD" w:rsidRDefault="00574C21" w:rsidP="00776FA8">
      <w:pPr>
        <w:spacing w:after="0" w:line="240" w:lineRule="auto"/>
      </w:pPr>
      <w:r>
        <w:rPr>
          <w:noProof/>
        </w:rPr>
        <w:drawing>
          <wp:anchor distT="0" distB="0" distL="114300" distR="114300" simplePos="0" relativeHeight="251720704" behindDoc="0" locked="0" layoutInCell="1" allowOverlap="1" wp14:anchorId="79EC5D85" wp14:editId="7BCCA65B">
            <wp:simplePos x="0" y="0"/>
            <wp:positionH relativeFrom="column">
              <wp:posOffset>0</wp:posOffset>
            </wp:positionH>
            <wp:positionV relativeFrom="paragraph">
              <wp:posOffset>-635</wp:posOffset>
            </wp:positionV>
            <wp:extent cx="9791700" cy="1482725"/>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791700" cy="1482725"/>
                    </a:xfrm>
                    <a:prstGeom prst="rect">
                      <a:avLst/>
                    </a:prstGeom>
                  </pic:spPr>
                </pic:pic>
              </a:graphicData>
            </a:graphic>
          </wp:anchor>
        </w:drawing>
      </w:r>
    </w:p>
    <w:p w14:paraId="067C28BA" w14:textId="77777777" w:rsidR="00674AFD" w:rsidRDefault="00674AFD" w:rsidP="00776FA8">
      <w:pPr>
        <w:spacing w:after="0" w:line="240" w:lineRule="auto"/>
      </w:pPr>
    </w:p>
    <w:p w14:paraId="19F19265" w14:textId="3B4695C4" w:rsidR="00674AFD" w:rsidRDefault="00674AFD" w:rsidP="00776FA8">
      <w:pPr>
        <w:spacing w:after="0" w:line="240" w:lineRule="auto"/>
      </w:pPr>
    </w:p>
    <w:p w14:paraId="1D934531" w14:textId="77777777" w:rsidR="00674AFD" w:rsidRDefault="00674AFD" w:rsidP="00776FA8">
      <w:pPr>
        <w:spacing w:after="0" w:line="240" w:lineRule="auto"/>
      </w:pPr>
    </w:p>
    <w:p w14:paraId="5B3FC2AF" w14:textId="77777777" w:rsidR="00674AFD" w:rsidRDefault="00674AFD" w:rsidP="00776FA8">
      <w:pPr>
        <w:spacing w:after="0" w:line="240" w:lineRule="auto"/>
      </w:pPr>
    </w:p>
    <w:p w14:paraId="3CD6D13F" w14:textId="77777777" w:rsidR="00674AFD" w:rsidRDefault="00674AFD" w:rsidP="00776FA8">
      <w:pPr>
        <w:spacing w:after="0" w:line="240" w:lineRule="auto"/>
      </w:pPr>
    </w:p>
    <w:p w14:paraId="0BF87A79" w14:textId="77777777" w:rsidR="00674AFD" w:rsidRDefault="00674AFD" w:rsidP="00776FA8">
      <w:pPr>
        <w:spacing w:after="0" w:line="240" w:lineRule="auto"/>
      </w:pPr>
    </w:p>
    <w:p w14:paraId="65F92BED" w14:textId="77777777" w:rsidR="00674AFD" w:rsidRDefault="00674AFD" w:rsidP="00776FA8">
      <w:pPr>
        <w:spacing w:after="0" w:line="240" w:lineRule="auto"/>
      </w:pPr>
    </w:p>
    <w:p w14:paraId="4825647E" w14:textId="77777777" w:rsidR="00674AFD" w:rsidRDefault="00674AFD" w:rsidP="00776FA8">
      <w:pPr>
        <w:spacing w:after="0" w:line="240" w:lineRule="auto"/>
      </w:pPr>
    </w:p>
    <w:p w14:paraId="0688D820" w14:textId="77777777" w:rsidR="00674AFD" w:rsidRDefault="00674AFD" w:rsidP="00776FA8">
      <w:pPr>
        <w:spacing w:after="0" w:line="240" w:lineRule="auto"/>
      </w:pPr>
    </w:p>
    <w:p w14:paraId="63C79E55" w14:textId="77777777" w:rsidR="00674AFD" w:rsidRDefault="00674AFD" w:rsidP="00776FA8">
      <w:pPr>
        <w:spacing w:after="0" w:line="240" w:lineRule="auto"/>
      </w:pPr>
    </w:p>
    <w:p w14:paraId="7BC4333B" w14:textId="2979B2B4" w:rsidR="00674AFD" w:rsidRDefault="00674AFD" w:rsidP="00776FA8">
      <w:pPr>
        <w:spacing w:after="0" w:line="240" w:lineRule="auto"/>
      </w:pPr>
      <w:r>
        <w:t>P</w:t>
      </w:r>
      <w:r w:rsidRPr="00674AFD">
        <w:t>rimary benefits and co-benefits expected to be delivered by the activity, based on the Waka Kotahi benefits framework.</w:t>
      </w:r>
      <w:r w:rsidR="00EA5956">
        <w:t xml:space="preserve"> Benefits are a cascade from the Point of Entry through to Implementation. When completing this section please consider benefits identified in previous business cases and how they are relevant to this phase of the activity.</w:t>
      </w:r>
    </w:p>
    <w:p w14:paraId="438926C6" w14:textId="77777777" w:rsidR="00674AFD" w:rsidRDefault="00674AFD" w:rsidP="00776FA8">
      <w:pPr>
        <w:spacing w:after="0" w:line="240" w:lineRule="auto"/>
      </w:pPr>
    </w:p>
    <w:p w14:paraId="693773D5" w14:textId="31DDED9B" w:rsidR="00674AFD" w:rsidRDefault="00674AFD" w:rsidP="00674AFD">
      <w:pPr>
        <w:spacing w:line="240" w:lineRule="auto"/>
        <w:rPr>
          <w:b/>
          <w:bCs/>
        </w:rPr>
      </w:pPr>
      <w:r>
        <w:rPr>
          <w:b/>
          <w:bCs/>
        </w:rPr>
        <w:t>The</w:t>
      </w:r>
      <w:r w:rsidRPr="00776FA8">
        <w:rPr>
          <w:b/>
          <w:bCs/>
        </w:rPr>
        <w:t xml:space="preserve"> </w:t>
      </w:r>
      <w:r>
        <w:rPr>
          <w:b/>
          <w:bCs/>
        </w:rPr>
        <w:t>‘Primary Benefit’ and required information is required for</w:t>
      </w:r>
      <w:r w:rsidRPr="00776FA8">
        <w:rPr>
          <w:b/>
          <w:bCs/>
        </w:rPr>
        <w:t xml:space="preserve"> Inclusion into the NLTP.</w:t>
      </w:r>
    </w:p>
    <w:p w14:paraId="29F120DC" w14:textId="014C8E09" w:rsidR="00674AFD" w:rsidRDefault="00516342">
      <w:pPr>
        <w:spacing w:after="0" w:line="240" w:lineRule="auto"/>
        <w:rPr>
          <w:b/>
          <w:bCs/>
        </w:rPr>
      </w:pPr>
      <w:r>
        <w:rPr>
          <w:noProof/>
        </w:rPr>
        <w:drawing>
          <wp:anchor distT="0" distB="0" distL="114300" distR="114300" simplePos="0" relativeHeight="251669504" behindDoc="0" locked="0" layoutInCell="1" allowOverlap="1" wp14:anchorId="7BEA187B" wp14:editId="70F19CC0">
            <wp:simplePos x="0" y="0"/>
            <wp:positionH relativeFrom="margin">
              <wp:align>left</wp:align>
            </wp:positionH>
            <wp:positionV relativeFrom="paragraph">
              <wp:posOffset>148838</wp:posOffset>
            </wp:positionV>
            <wp:extent cx="9599474" cy="1502797"/>
            <wp:effectExtent l="0" t="0" r="190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599474" cy="1502797"/>
                    </a:xfrm>
                    <a:prstGeom prst="rect">
                      <a:avLst/>
                    </a:prstGeom>
                  </pic:spPr>
                </pic:pic>
              </a:graphicData>
            </a:graphic>
            <wp14:sizeRelH relativeFrom="margin">
              <wp14:pctWidth>0</wp14:pctWidth>
            </wp14:sizeRelH>
            <wp14:sizeRelV relativeFrom="margin">
              <wp14:pctHeight>0</wp14:pctHeight>
            </wp14:sizeRelV>
          </wp:anchor>
        </w:drawing>
      </w:r>
    </w:p>
    <w:p w14:paraId="1AC437A5" w14:textId="17570AF8" w:rsidR="00674AFD" w:rsidRPr="00776FA8" w:rsidRDefault="00674AFD" w:rsidP="00674AFD">
      <w:pPr>
        <w:spacing w:line="240" w:lineRule="auto"/>
        <w:rPr>
          <w:b/>
          <w:bCs/>
        </w:rPr>
      </w:pPr>
    </w:p>
    <w:p w14:paraId="02BE1269" w14:textId="77777777" w:rsidR="00674AFD" w:rsidRDefault="00674AFD" w:rsidP="00776FA8">
      <w:pPr>
        <w:spacing w:after="0" w:line="240" w:lineRule="auto"/>
      </w:pPr>
    </w:p>
    <w:p w14:paraId="180B5CD3" w14:textId="77777777" w:rsidR="00674AFD" w:rsidRDefault="00674AFD" w:rsidP="00776FA8">
      <w:pPr>
        <w:spacing w:after="0" w:line="240" w:lineRule="auto"/>
      </w:pPr>
    </w:p>
    <w:p w14:paraId="761D8A6F" w14:textId="77777777" w:rsidR="00674AFD" w:rsidRDefault="00674AFD" w:rsidP="00776FA8">
      <w:pPr>
        <w:spacing w:after="0" w:line="240" w:lineRule="auto"/>
      </w:pPr>
    </w:p>
    <w:p w14:paraId="5AE7D91A" w14:textId="77777777" w:rsidR="00674AFD" w:rsidRDefault="00674AFD" w:rsidP="00776FA8">
      <w:pPr>
        <w:spacing w:after="0" w:line="240" w:lineRule="auto"/>
      </w:pPr>
    </w:p>
    <w:p w14:paraId="60DF0E01" w14:textId="77777777" w:rsidR="00674AFD" w:rsidRDefault="00674AFD" w:rsidP="00776FA8">
      <w:pPr>
        <w:spacing w:after="0" w:line="240" w:lineRule="auto"/>
      </w:pPr>
    </w:p>
    <w:p w14:paraId="1072BEF2" w14:textId="77777777" w:rsidR="00674AFD" w:rsidRDefault="00674AFD" w:rsidP="00776FA8">
      <w:pPr>
        <w:spacing w:after="0" w:line="240" w:lineRule="auto"/>
      </w:pPr>
    </w:p>
    <w:p w14:paraId="259BB818" w14:textId="77777777" w:rsidR="00674AFD" w:rsidRDefault="00674AFD" w:rsidP="00776FA8">
      <w:pPr>
        <w:spacing w:after="0" w:line="240" w:lineRule="auto"/>
      </w:pPr>
    </w:p>
    <w:p w14:paraId="23322F04" w14:textId="77777777" w:rsidR="00674AFD" w:rsidRDefault="00674AFD" w:rsidP="00776FA8">
      <w:pPr>
        <w:spacing w:after="0" w:line="240" w:lineRule="auto"/>
      </w:pPr>
    </w:p>
    <w:p w14:paraId="2C637139" w14:textId="77777777" w:rsidR="00674AFD" w:rsidRDefault="00674AFD" w:rsidP="00776FA8">
      <w:pPr>
        <w:spacing w:after="0" w:line="240" w:lineRule="auto"/>
      </w:pPr>
    </w:p>
    <w:p w14:paraId="2E73AB7A" w14:textId="77777777" w:rsidR="00143C51" w:rsidRDefault="00143C51" w:rsidP="00143C51">
      <w:pPr>
        <w:spacing w:line="240" w:lineRule="auto"/>
      </w:pPr>
      <w:r w:rsidRPr="00F5265E">
        <w:t xml:space="preserve">Please read the full description of related benefits which can be found in the </w:t>
      </w:r>
      <w:hyperlink r:id="rId20" w:history="1">
        <w:r w:rsidRPr="00F5265E">
          <w:rPr>
            <w:rStyle w:val="Hyperlink"/>
          </w:rPr>
          <w:t>Benefits framework and management approach guidelines</w:t>
        </w:r>
      </w:hyperlink>
      <w:r w:rsidRPr="00F5265E">
        <w:t>.</w:t>
      </w:r>
    </w:p>
    <w:p w14:paraId="26863D57" w14:textId="77777777" w:rsidR="00143C51" w:rsidRDefault="00143C51" w:rsidP="00143C51">
      <w:pPr>
        <w:spacing w:line="240" w:lineRule="auto"/>
      </w:pPr>
      <w:r>
        <w:t xml:space="preserve">Transport sector outcomes are based on the Ministry of Transport’s </w:t>
      </w:r>
      <w:hyperlink r:id="rId21" w:history="1">
        <w:r w:rsidRPr="00EA5956">
          <w:rPr>
            <w:rStyle w:val="Hyperlink"/>
          </w:rPr>
          <w:t>Transport Outcomes Framework</w:t>
        </w:r>
      </w:hyperlink>
      <w:r>
        <w:t>. Benefit clusters and benefits are enduring and reflect the broad range of land transport benefits valued by the community. For inclusion o</w:t>
      </w:r>
      <w:r w:rsidRPr="00EA5956">
        <w:t>ne transport sector outcome</w:t>
      </w:r>
      <w:r>
        <w:t>, followed by a benefit cluster and benefit is required to be selected.</w:t>
      </w:r>
    </w:p>
    <w:p w14:paraId="06EBFA2A" w14:textId="77777777" w:rsidR="00143C51" w:rsidRDefault="00143C51" w:rsidP="00143C51">
      <w:pPr>
        <w:spacing w:line="240" w:lineRule="auto"/>
      </w:pPr>
      <w:r>
        <w:t>The community outcome field is optional. It allows c</w:t>
      </w:r>
      <w:r w:rsidRPr="00EA5956">
        <w:t>ommunity outcome</w:t>
      </w:r>
      <w:r>
        <w:t xml:space="preserve">s, relating </w:t>
      </w:r>
      <w:r w:rsidRPr="00EA5956">
        <w:t xml:space="preserve">to transport sector outcomes being sought, </w:t>
      </w:r>
      <w:r>
        <w:t xml:space="preserve">to be entered into TIO. These outcomes do </w:t>
      </w:r>
      <w:r w:rsidRPr="00EA5956">
        <w:t xml:space="preserve">not </w:t>
      </w:r>
      <w:r>
        <w:t xml:space="preserve">need to be </w:t>
      </w:r>
      <w:r w:rsidRPr="00EA5956">
        <w:t>land transport specific</w:t>
      </w:r>
      <w:r>
        <w:t xml:space="preserve"> and </w:t>
      </w:r>
      <w:r w:rsidRPr="00EA5956">
        <w:t>allows connections to be made but does not mean that the NLTP will fund these outcomes.</w:t>
      </w:r>
    </w:p>
    <w:p w14:paraId="25E8E2A5" w14:textId="14C0BA4C" w:rsidR="00143C51" w:rsidRDefault="00143C51" w:rsidP="00143C51">
      <w:pPr>
        <w:spacing w:line="240" w:lineRule="auto"/>
      </w:pPr>
      <w:r>
        <w:t xml:space="preserve">Alternative benefits are optional and must be materially different to the benefits available for selection. Alternative benefits must start with the words "Impact on " and be succinct. You must discuss any alternative benefits with your Waka Kotahi Investment Advisor before entering a benefit in this field. This field </w:t>
      </w:r>
      <w:r w:rsidR="00751F34">
        <w:t>h</w:t>
      </w:r>
      <w:r>
        <w:t>as been left blank as suitable benefit was selected from within the benefits framework.</w:t>
      </w:r>
    </w:p>
    <w:p w14:paraId="724B8F0F" w14:textId="77777777" w:rsidR="00143C51" w:rsidRDefault="00143C51" w:rsidP="00143C51">
      <w:pPr>
        <w:spacing w:line="240" w:lineRule="auto"/>
      </w:pPr>
      <w:r>
        <w:t>Primary benefits are the key benefit of an investment. Co-benefits support the primary benefits and will be delivered by the investment but are not the key benefit. A</w:t>
      </w:r>
      <w:r w:rsidRPr="00FC155F">
        <w:t xml:space="preserve"> ‘Primary Benefit’ and</w:t>
      </w:r>
      <w:r>
        <w:t xml:space="preserve"> a quantitative or qualitative measure with a baseline are</w:t>
      </w:r>
      <w:r w:rsidRPr="00FC155F">
        <w:t xml:space="preserve"> required information for Inclusion into the NLTP.</w:t>
      </w:r>
      <w:r>
        <w:t xml:space="preserve"> Co-benefits and all measure details are required in TIO for funding approval.</w:t>
      </w:r>
    </w:p>
    <w:p w14:paraId="74B79984" w14:textId="6B19A779" w:rsidR="00FC155F" w:rsidRDefault="00FC155F" w:rsidP="00F5265E">
      <w:pPr>
        <w:spacing w:line="240" w:lineRule="auto"/>
      </w:pPr>
    </w:p>
    <w:p w14:paraId="2701C4BC" w14:textId="7A370D0E" w:rsidR="00FC155F" w:rsidRDefault="00FC155F" w:rsidP="00F5265E">
      <w:pPr>
        <w:spacing w:line="240" w:lineRule="auto"/>
      </w:pPr>
    </w:p>
    <w:p w14:paraId="35B87325" w14:textId="3D301F8C" w:rsidR="00FC155F" w:rsidRPr="00F5265E" w:rsidRDefault="00574C21" w:rsidP="00F5265E">
      <w:pPr>
        <w:spacing w:line="240" w:lineRule="auto"/>
      </w:pPr>
      <w:r>
        <w:rPr>
          <w:noProof/>
        </w:rPr>
        <w:lastRenderedPageBreak/>
        <w:drawing>
          <wp:anchor distT="0" distB="0" distL="114300" distR="114300" simplePos="0" relativeHeight="251718656" behindDoc="0" locked="0" layoutInCell="1" allowOverlap="1" wp14:anchorId="54971496" wp14:editId="7A1392F0">
            <wp:simplePos x="0" y="0"/>
            <wp:positionH relativeFrom="column">
              <wp:posOffset>0</wp:posOffset>
            </wp:positionH>
            <wp:positionV relativeFrom="paragraph">
              <wp:posOffset>-635</wp:posOffset>
            </wp:positionV>
            <wp:extent cx="9791700" cy="6756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791700" cy="675640"/>
                    </a:xfrm>
                    <a:prstGeom prst="rect">
                      <a:avLst/>
                    </a:prstGeom>
                  </pic:spPr>
                </pic:pic>
              </a:graphicData>
            </a:graphic>
            <wp14:sizeRelV relativeFrom="margin">
              <wp14:pctHeight>0</wp14:pctHeight>
            </wp14:sizeRelV>
          </wp:anchor>
        </w:drawing>
      </w:r>
    </w:p>
    <w:p w14:paraId="43E5FE7B" w14:textId="20687466" w:rsidR="00FC155F" w:rsidRDefault="00FC155F">
      <w:pPr>
        <w:spacing w:after="0" w:line="240" w:lineRule="auto"/>
      </w:pPr>
    </w:p>
    <w:p w14:paraId="5A30188B" w14:textId="77777777" w:rsidR="0044051A" w:rsidRDefault="0044051A">
      <w:pPr>
        <w:spacing w:after="0" w:line="240" w:lineRule="auto"/>
      </w:pPr>
    </w:p>
    <w:p w14:paraId="321A4698" w14:textId="77777777" w:rsidR="0044051A" w:rsidRDefault="0044051A">
      <w:pPr>
        <w:spacing w:after="0" w:line="240" w:lineRule="auto"/>
      </w:pPr>
    </w:p>
    <w:p w14:paraId="341F1EB1" w14:textId="77777777" w:rsidR="0044051A" w:rsidRDefault="0044051A">
      <w:pPr>
        <w:spacing w:after="0" w:line="240" w:lineRule="auto"/>
      </w:pPr>
    </w:p>
    <w:p w14:paraId="63069FEA" w14:textId="6E6437E5" w:rsidR="00CE756A" w:rsidRDefault="00143C51" w:rsidP="00A0130E">
      <w:pPr>
        <w:spacing w:line="240" w:lineRule="auto"/>
      </w:pPr>
      <w:r>
        <w:t xml:space="preserve">A measure will need to be selected that provides the best evidence about the selected benefit. The measure’s baseline is the reported result of the selected measure at the start of the investment. A unit of measurement will need to be reflected in the baseline as per the measure description, which are provided where available in the </w:t>
      </w:r>
      <w:hyperlink r:id="rId23" w:history="1">
        <w:r w:rsidRPr="004E709A">
          <w:rPr>
            <w:rStyle w:val="Hyperlink"/>
          </w:rPr>
          <w:t>Non-monetised benefits manual.</w:t>
        </w:r>
      </w:hyperlink>
    </w:p>
    <w:p w14:paraId="036B4962" w14:textId="77777777" w:rsidR="00143C51" w:rsidRDefault="00143C51" w:rsidP="00143C51">
      <w:pPr>
        <w:spacing w:line="240" w:lineRule="auto"/>
        <w:rPr>
          <w:b/>
          <w:bCs/>
        </w:rPr>
      </w:pPr>
      <w:r w:rsidRPr="00A0130E">
        <w:t>While the example above includes the forecast range ‘do-minimum’, forecast range ‘preferred option’, forecast year, period for monitoring and forecast confidence rating,</w:t>
      </w:r>
      <w:r>
        <w:rPr>
          <w:b/>
          <w:bCs/>
        </w:rPr>
        <w:t xml:space="preserve"> f</w:t>
      </w:r>
      <w:r w:rsidRPr="00A0130E">
        <w:rPr>
          <w:b/>
          <w:bCs/>
        </w:rPr>
        <w:t>or NLTP inclusion a measure with its baseline will need to be captured within TIO.</w:t>
      </w:r>
    </w:p>
    <w:p w14:paraId="6E4BC2B7" w14:textId="77777777" w:rsidR="00143C51" w:rsidRPr="00A0130E" w:rsidRDefault="00143C51" w:rsidP="00143C51">
      <w:pPr>
        <w:spacing w:line="240" w:lineRule="auto"/>
      </w:pPr>
      <w:r>
        <w:t xml:space="preserve">Any content included for NLTP inclusion can be a </w:t>
      </w:r>
      <w:proofErr w:type="gramStart"/>
      <w:r>
        <w:t>high level</w:t>
      </w:r>
      <w:proofErr w:type="gramEnd"/>
      <w:r>
        <w:t xml:space="preserve"> estimate. The underlying evidence will not be developed until completion of the initial business case phase for the investment.  </w:t>
      </w:r>
    </w:p>
    <w:p w14:paraId="04696536" w14:textId="77777777" w:rsidR="00143C51" w:rsidRDefault="00143C51" w:rsidP="00143C51">
      <w:pPr>
        <w:spacing w:after="0" w:line="240" w:lineRule="auto"/>
      </w:pPr>
      <w:r>
        <w:t>When the investment moves through to obtain funding approval, significant co-benefits and associated measures material will need to be added to TIO. We expect that a handful of benefits and measures will be included in each improvement business case, but further measures can be added if necessary.</w:t>
      </w:r>
    </w:p>
    <w:p w14:paraId="7793A18E" w14:textId="77777777" w:rsidR="00CE756A" w:rsidRDefault="00CE756A">
      <w:pPr>
        <w:spacing w:after="0" w:line="240" w:lineRule="auto"/>
      </w:pPr>
    </w:p>
    <w:p w14:paraId="0DA1831D" w14:textId="7B1A5933" w:rsidR="00CE756A" w:rsidRDefault="001B7122">
      <w:pPr>
        <w:spacing w:after="0" w:line="240" w:lineRule="auto"/>
      </w:pPr>
      <w:r>
        <w:rPr>
          <w:noProof/>
        </w:rPr>
        <w:drawing>
          <wp:anchor distT="0" distB="0" distL="114300" distR="114300" simplePos="0" relativeHeight="251679744" behindDoc="0" locked="0" layoutInCell="1" allowOverlap="1" wp14:anchorId="3CDCF60F" wp14:editId="03D87319">
            <wp:simplePos x="0" y="0"/>
            <wp:positionH relativeFrom="column">
              <wp:posOffset>0</wp:posOffset>
            </wp:positionH>
            <wp:positionV relativeFrom="paragraph">
              <wp:posOffset>-635</wp:posOffset>
            </wp:positionV>
            <wp:extent cx="9791700" cy="16751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791700" cy="1675130"/>
                    </a:xfrm>
                    <a:prstGeom prst="rect">
                      <a:avLst/>
                    </a:prstGeom>
                  </pic:spPr>
                </pic:pic>
              </a:graphicData>
            </a:graphic>
          </wp:anchor>
        </w:drawing>
      </w:r>
    </w:p>
    <w:p w14:paraId="297E99E1" w14:textId="77777777" w:rsidR="00CE756A" w:rsidRDefault="00CE756A">
      <w:pPr>
        <w:spacing w:after="0" w:line="240" w:lineRule="auto"/>
      </w:pPr>
    </w:p>
    <w:p w14:paraId="1608D7C9" w14:textId="77777777" w:rsidR="00CE756A" w:rsidRDefault="00CE756A">
      <w:pPr>
        <w:spacing w:after="0" w:line="240" w:lineRule="auto"/>
      </w:pPr>
    </w:p>
    <w:p w14:paraId="14E44C04" w14:textId="317E9C98" w:rsidR="00CE756A" w:rsidRDefault="00CE756A">
      <w:pPr>
        <w:spacing w:after="0" w:line="240" w:lineRule="auto"/>
      </w:pPr>
    </w:p>
    <w:p w14:paraId="614A37B4" w14:textId="7747CEFA" w:rsidR="000041CA" w:rsidRDefault="000041CA">
      <w:pPr>
        <w:spacing w:after="0" w:line="240" w:lineRule="auto"/>
      </w:pPr>
    </w:p>
    <w:p w14:paraId="18DC3DD1" w14:textId="543C2B1B" w:rsidR="000041CA" w:rsidRDefault="000041CA">
      <w:pPr>
        <w:spacing w:after="0" w:line="240" w:lineRule="auto"/>
      </w:pPr>
    </w:p>
    <w:p w14:paraId="234E7CC8" w14:textId="1515D38F" w:rsidR="000041CA" w:rsidRDefault="000041CA">
      <w:pPr>
        <w:spacing w:after="0" w:line="240" w:lineRule="auto"/>
      </w:pPr>
    </w:p>
    <w:p w14:paraId="0161D2B2" w14:textId="20DC9D8E" w:rsidR="000041CA" w:rsidRDefault="000041CA">
      <w:pPr>
        <w:spacing w:after="0" w:line="240" w:lineRule="auto"/>
      </w:pPr>
    </w:p>
    <w:p w14:paraId="4A950E7A" w14:textId="53594502" w:rsidR="000041CA" w:rsidRDefault="000041CA">
      <w:pPr>
        <w:spacing w:after="0" w:line="240" w:lineRule="auto"/>
      </w:pPr>
    </w:p>
    <w:p w14:paraId="22B9486D" w14:textId="391C4A40" w:rsidR="000041CA" w:rsidRDefault="000041CA">
      <w:pPr>
        <w:spacing w:after="0" w:line="240" w:lineRule="auto"/>
      </w:pPr>
    </w:p>
    <w:p w14:paraId="0D594C20" w14:textId="35CA170E" w:rsidR="000041CA" w:rsidRDefault="000041CA">
      <w:pPr>
        <w:spacing w:after="0" w:line="240" w:lineRule="auto"/>
      </w:pPr>
    </w:p>
    <w:p w14:paraId="24E34D1A" w14:textId="3F11B031" w:rsidR="000041CA" w:rsidRDefault="000041CA">
      <w:pPr>
        <w:spacing w:after="0" w:line="240" w:lineRule="auto"/>
      </w:pPr>
    </w:p>
    <w:p w14:paraId="2D159B2D" w14:textId="70237F03" w:rsidR="00143C51" w:rsidRDefault="00143C51" w:rsidP="00143C51">
      <w:pPr>
        <w:spacing w:line="240" w:lineRule="auto"/>
      </w:pPr>
      <w:r>
        <w:t>A qualitative measure has not been selected as the primary benefit is best evidenced through the quantitative measure ’10.2.</w:t>
      </w:r>
      <w:r w:rsidR="00574C21">
        <w:t>10</w:t>
      </w:r>
      <w:r>
        <w:t xml:space="preserve">. </w:t>
      </w:r>
      <w:r w:rsidR="00574C21">
        <w:t>Traffic – mode share</w:t>
      </w:r>
      <w:r>
        <w:t>’, however, additional benefits and measures, including qualitative measures, should be entered w</w:t>
      </w:r>
      <w:r w:rsidRPr="004E709A">
        <w:t xml:space="preserve">hen the investment moves through to obtain funding </w:t>
      </w:r>
      <w:r w:rsidR="00574C21" w:rsidRPr="004E709A">
        <w:t>approval</w:t>
      </w:r>
      <w:r w:rsidR="00574C21">
        <w:t>.</w:t>
      </w:r>
      <w:r>
        <w:t xml:space="preserve"> </w:t>
      </w:r>
    </w:p>
    <w:p w14:paraId="30EEC9D1" w14:textId="77777777" w:rsidR="00143C51" w:rsidRDefault="00143C51" w:rsidP="00143C51">
      <w:pPr>
        <w:spacing w:line="240" w:lineRule="auto"/>
      </w:pPr>
      <w:r>
        <w:t>If a q</w:t>
      </w:r>
      <w:r w:rsidRPr="004E709A">
        <w:t>ualitative measure</w:t>
      </w:r>
      <w:r>
        <w:t xml:space="preserve"> is being input into TIO they</w:t>
      </w:r>
      <w:r w:rsidRPr="004E709A">
        <w:t xml:space="preserve"> are listed as 'user to describe' in the framework. Methodologies to describe the measures are provided where available in the </w:t>
      </w:r>
      <w:hyperlink r:id="rId25" w:history="1">
        <w:r w:rsidRPr="004E709A">
          <w:rPr>
            <w:rStyle w:val="Hyperlink"/>
          </w:rPr>
          <w:t>Non-monetised benefits manual.</w:t>
        </w:r>
      </w:hyperlink>
      <w:r>
        <w:t xml:space="preserve"> </w:t>
      </w:r>
    </w:p>
    <w:p w14:paraId="36581164" w14:textId="27169B9D" w:rsidR="002B6EFF" w:rsidRDefault="002B6EFF">
      <w:pPr>
        <w:spacing w:after="0" w:line="240" w:lineRule="auto"/>
        <w:rPr>
          <w:rFonts w:ascii="Arial" w:eastAsiaTheme="majorEastAsia" w:hAnsi="Arial" w:cstheme="majorBidi"/>
          <w:b/>
          <w:color w:val="19456B" w:themeColor="background2"/>
          <w:sz w:val="28"/>
          <w:szCs w:val="26"/>
        </w:rPr>
      </w:pPr>
      <w:r>
        <w:rPr>
          <w:rFonts w:ascii="Arial" w:eastAsiaTheme="majorEastAsia" w:hAnsi="Arial" w:cstheme="majorBidi"/>
          <w:b/>
          <w:color w:val="19456B" w:themeColor="background2"/>
          <w:sz w:val="28"/>
          <w:szCs w:val="26"/>
        </w:rPr>
        <w:br w:type="page"/>
      </w:r>
    </w:p>
    <w:p w14:paraId="295C913B" w14:textId="5F3C4AF1" w:rsidR="00FC155F" w:rsidRDefault="00FC155F">
      <w:pPr>
        <w:spacing w:after="0" w:line="240" w:lineRule="auto"/>
        <w:rPr>
          <w:rFonts w:ascii="Arial" w:eastAsiaTheme="majorEastAsia" w:hAnsi="Arial" w:cstheme="majorBidi"/>
          <w:b/>
          <w:color w:val="19456B" w:themeColor="background2"/>
          <w:sz w:val="28"/>
          <w:szCs w:val="26"/>
        </w:rPr>
      </w:pPr>
    </w:p>
    <w:p w14:paraId="2713D678" w14:textId="082A4EBF" w:rsidR="002B6EFF" w:rsidRDefault="002B6EFF">
      <w:pPr>
        <w:spacing w:after="0" w:line="240" w:lineRule="auto"/>
        <w:rPr>
          <w:rFonts w:ascii="Arial" w:eastAsiaTheme="majorEastAsia" w:hAnsi="Arial" w:cstheme="majorBidi"/>
          <w:b/>
          <w:color w:val="19456B" w:themeColor="background2"/>
          <w:sz w:val="28"/>
          <w:szCs w:val="26"/>
        </w:rPr>
      </w:pPr>
      <w:r>
        <w:rPr>
          <w:noProof/>
        </w:rPr>
        <w:drawing>
          <wp:anchor distT="0" distB="0" distL="114300" distR="114300" simplePos="0" relativeHeight="251683840" behindDoc="0" locked="0" layoutInCell="1" allowOverlap="1" wp14:anchorId="5A1B996D" wp14:editId="6FD9D298">
            <wp:simplePos x="0" y="0"/>
            <wp:positionH relativeFrom="column">
              <wp:posOffset>0</wp:posOffset>
            </wp:positionH>
            <wp:positionV relativeFrom="paragraph">
              <wp:posOffset>-635</wp:posOffset>
            </wp:positionV>
            <wp:extent cx="5181600" cy="2733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81600" cy="2733675"/>
                    </a:xfrm>
                    <a:prstGeom prst="rect">
                      <a:avLst/>
                    </a:prstGeom>
                  </pic:spPr>
                </pic:pic>
              </a:graphicData>
            </a:graphic>
          </wp:anchor>
        </w:drawing>
      </w:r>
    </w:p>
    <w:p w14:paraId="04CAEEA8" w14:textId="783262A4" w:rsidR="002B6EFF" w:rsidRDefault="002B6EFF">
      <w:pPr>
        <w:spacing w:after="0" w:line="240" w:lineRule="auto"/>
        <w:rPr>
          <w:rFonts w:ascii="Arial" w:eastAsiaTheme="majorEastAsia" w:hAnsi="Arial" w:cstheme="majorBidi"/>
          <w:b/>
          <w:color w:val="19456B" w:themeColor="background2"/>
          <w:sz w:val="28"/>
          <w:szCs w:val="26"/>
        </w:rPr>
      </w:pPr>
    </w:p>
    <w:p w14:paraId="3FFF35F3" w14:textId="77777777" w:rsidR="002B6EFF" w:rsidRDefault="002B6EFF">
      <w:pPr>
        <w:spacing w:after="0" w:line="240" w:lineRule="auto"/>
        <w:rPr>
          <w:rFonts w:ascii="Arial" w:eastAsiaTheme="majorEastAsia" w:hAnsi="Arial" w:cstheme="majorBidi"/>
          <w:b/>
          <w:color w:val="19456B" w:themeColor="background2"/>
          <w:sz w:val="28"/>
          <w:szCs w:val="26"/>
        </w:rPr>
      </w:pPr>
    </w:p>
    <w:p w14:paraId="282C28C5" w14:textId="77777777" w:rsidR="002B6EFF" w:rsidRDefault="002B6EFF">
      <w:pPr>
        <w:spacing w:after="0" w:line="240" w:lineRule="auto"/>
      </w:pPr>
    </w:p>
    <w:p w14:paraId="3AD4EBBF" w14:textId="77777777" w:rsidR="002B6EFF" w:rsidRDefault="002B6EFF">
      <w:pPr>
        <w:spacing w:after="0" w:line="240" w:lineRule="auto"/>
      </w:pPr>
    </w:p>
    <w:p w14:paraId="565836CE" w14:textId="77777777" w:rsidR="002B6EFF" w:rsidRDefault="002B6EFF">
      <w:pPr>
        <w:spacing w:after="0" w:line="240" w:lineRule="auto"/>
      </w:pPr>
    </w:p>
    <w:p w14:paraId="2E30C8BC" w14:textId="77777777" w:rsidR="002B6EFF" w:rsidRDefault="002B6EFF">
      <w:pPr>
        <w:spacing w:after="0" w:line="240" w:lineRule="auto"/>
      </w:pPr>
    </w:p>
    <w:p w14:paraId="0D400401" w14:textId="77777777" w:rsidR="002B6EFF" w:rsidRDefault="002B6EFF">
      <w:pPr>
        <w:spacing w:after="0" w:line="240" w:lineRule="auto"/>
      </w:pPr>
    </w:p>
    <w:p w14:paraId="00A63BDB" w14:textId="77777777" w:rsidR="002B6EFF" w:rsidRDefault="002B6EFF">
      <w:pPr>
        <w:spacing w:after="0" w:line="240" w:lineRule="auto"/>
      </w:pPr>
    </w:p>
    <w:p w14:paraId="7B6EE5B3" w14:textId="77777777" w:rsidR="002B6EFF" w:rsidRDefault="002B6EFF">
      <w:pPr>
        <w:spacing w:after="0" w:line="240" w:lineRule="auto"/>
      </w:pPr>
    </w:p>
    <w:p w14:paraId="071FF259" w14:textId="77777777" w:rsidR="002B6EFF" w:rsidRDefault="002B6EFF">
      <w:pPr>
        <w:spacing w:after="0" w:line="240" w:lineRule="auto"/>
      </w:pPr>
    </w:p>
    <w:p w14:paraId="0CF83AE6" w14:textId="77777777" w:rsidR="002B6EFF" w:rsidRDefault="002B6EFF">
      <w:pPr>
        <w:spacing w:after="0" w:line="240" w:lineRule="auto"/>
      </w:pPr>
    </w:p>
    <w:p w14:paraId="3646CB2E" w14:textId="77777777" w:rsidR="002B6EFF" w:rsidRDefault="002B6EFF">
      <w:pPr>
        <w:spacing w:after="0" w:line="240" w:lineRule="auto"/>
      </w:pPr>
    </w:p>
    <w:p w14:paraId="329802B2" w14:textId="77777777" w:rsidR="002B6EFF" w:rsidRDefault="002B6EFF">
      <w:pPr>
        <w:spacing w:after="0" w:line="240" w:lineRule="auto"/>
      </w:pPr>
    </w:p>
    <w:p w14:paraId="42AFDA86" w14:textId="77777777" w:rsidR="002B6EFF" w:rsidRDefault="002B6EFF">
      <w:pPr>
        <w:spacing w:after="0" w:line="240" w:lineRule="auto"/>
      </w:pPr>
    </w:p>
    <w:p w14:paraId="306C549C" w14:textId="77777777" w:rsidR="002B6EFF" w:rsidRDefault="002B6EFF">
      <w:pPr>
        <w:spacing w:after="0" w:line="240" w:lineRule="auto"/>
      </w:pPr>
    </w:p>
    <w:p w14:paraId="005117C9" w14:textId="77777777" w:rsidR="002B6EFF" w:rsidRDefault="002B6EFF">
      <w:pPr>
        <w:spacing w:after="0" w:line="240" w:lineRule="auto"/>
      </w:pPr>
    </w:p>
    <w:p w14:paraId="1D745C4F" w14:textId="77777777" w:rsidR="002B6EFF" w:rsidRDefault="002B6EFF">
      <w:pPr>
        <w:spacing w:after="0" w:line="240" w:lineRule="auto"/>
      </w:pPr>
    </w:p>
    <w:p w14:paraId="4AC57664" w14:textId="15DF8684" w:rsidR="00853F6D" w:rsidRDefault="002B6EFF" w:rsidP="00853F6D">
      <w:pPr>
        <w:spacing w:line="240" w:lineRule="auto"/>
      </w:pPr>
      <w:r>
        <w:t xml:space="preserve">For inclusion into the </w:t>
      </w:r>
      <w:r w:rsidR="00853F6D">
        <w:t>NLTP the box</w:t>
      </w:r>
      <w:r w:rsidR="00970E29">
        <w:t xml:space="preserve"> ‘Are you seeking funding approval of an activity level business case’</w:t>
      </w:r>
      <w:r w:rsidR="00853F6D">
        <w:t xml:space="preserve"> should be checked as no.</w:t>
      </w:r>
      <w:r w:rsidR="00970E29">
        <w:t xml:space="preserve"> Additional information is required to be entered into TIO for funding approval.</w:t>
      </w:r>
    </w:p>
    <w:p w14:paraId="78DD4BE5" w14:textId="1C31A4E6" w:rsidR="00970E29" w:rsidRDefault="00970E29" w:rsidP="00853F6D">
      <w:pPr>
        <w:spacing w:line="240" w:lineRule="auto"/>
      </w:pPr>
      <w:r>
        <w:t>A completed business case is not required for inclusion into the NLTP</w:t>
      </w:r>
      <w:r w:rsidR="00B02883">
        <w:t>, as</w:t>
      </w:r>
      <w:r>
        <w:t xml:space="preserve"> </w:t>
      </w:r>
      <w:r w:rsidR="00B02883">
        <w:t>this</w:t>
      </w:r>
      <w:r>
        <w:t xml:space="preserve"> will not be available until the initial business case step is completed. A draft business case should be uploaded into TIO when available</w:t>
      </w:r>
      <w:r w:rsidR="007D1FFE">
        <w:t>, including reloading the business case</w:t>
      </w:r>
      <w:r>
        <w:t xml:space="preserve"> for any significant revisions.</w:t>
      </w:r>
    </w:p>
    <w:p w14:paraId="2D6F2A56" w14:textId="7A8B1C90" w:rsidR="000E0355" w:rsidRDefault="00264479" w:rsidP="00853F6D">
      <w:pPr>
        <w:spacing w:line="240" w:lineRule="auto"/>
      </w:pPr>
      <w:r>
        <w:rPr>
          <w:noProof/>
        </w:rPr>
        <w:drawing>
          <wp:anchor distT="0" distB="0" distL="114300" distR="114300" simplePos="0" relativeHeight="251685888" behindDoc="0" locked="0" layoutInCell="1" allowOverlap="1" wp14:anchorId="2C809B35" wp14:editId="1C94DBA8">
            <wp:simplePos x="0" y="0"/>
            <wp:positionH relativeFrom="margin">
              <wp:align>left</wp:align>
            </wp:positionH>
            <wp:positionV relativeFrom="paragraph">
              <wp:posOffset>459451</wp:posOffset>
            </wp:positionV>
            <wp:extent cx="4500748" cy="982122"/>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00748" cy="982122"/>
                    </a:xfrm>
                    <a:prstGeom prst="rect">
                      <a:avLst/>
                    </a:prstGeom>
                  </pic:spPr>
                </pic:pic>
              </a:graphicData>
            </a:graphic>
            <wp14:sizeRelH relativeFrom="margin">
              <wp14:pctWidth>0</wp14:pctWidth>
            </wp14:sizeRelH>
            <wp14:sizeRelV relativeFrom="margin">
              <wp14:pctHeight>0</wp14:pctHeight>
            </wp14:sizeRelV>
          </wp:anchor>
        </w:drawing>
      </w:r>
      <w:r w:rsidR="00853F6D">
        <w:t>A completed AST is not required for inclusion into the NLTP. A</w:t>
      </w:r>
      <w:r w:rsidR="00970E29">
        <w:t>n</w:t>
      </w:r>
      <w:r w:rsidR="00853F6D">
        <w:t xml:space="preserve"> AST is not required until funding approval</w:t>
      </w:r>
      <w:r w:rsidR="00970E29">
        <w:t xml:space="preserve"> is being sought and should be updated when any significant revisions are made.</w:t>
      </w:r>
      <w:r w:rsidR="00853F6D">
        <w:br/>
      </w:r>
    </w:p>
    <w:p w14:paraId="426A979D" w14:textId="0E4747CB" w:rsidR="00264479" w:rsidRDefault="00264479" w:rsidP="00853F6D">
      <w:pPr>
        <w:spacing w:line="240" w:lineRule="auto"/>
      </w:pPr>
    </w:p>
    <w:p w14:paraId="5F99DD7C" w14:textId="45C965CD" w:rsidR="00264479" w:rsidRDefault="00264479" w:rsidP="00853F6D">
      <w:pPr>
        <w:spacing w:line="240" w:lineRule="auto"/>
      </w:pPr>
    </w:p>
    <w:p w14:paraId="5266E343" w14:textId="77777777" w:rsidR="00264479" w:rsidRDefault="00264479">
      <w:pPr>
        <w:spacing w:after="0" w:line="240" w:lineRule="auto"/>
      </w:pPr>
    </w:p>
    <w:p w14:paraId="5C59D3DE" w14:textId="77777777" w:rsidR="00264479" w:rsidRDefault="00264479">
      <w:pPr>
        <w:spacing w:after="0" w:line="240" w:lineRule="auto"/>
      </w:pPr>
    </w:p>
    <w:p w14:paraId="13BEDCCB" w14:textId="77777777" w:rsidR="00264479" w:rsidRDefault="00264479">
      <w:pPr>
        <w:spacing w:after="0" w:line="240" w:lineRule="auto"/>
      </w:pPr>
    </w:p>
    <w:p w14:paraId="6D21E111" w14:textId="77777777" w:rsidR="00264479" w:rsidRDefault="00264479">
      <w:pPr>
        <w:spacing w:after="0" w:line="240" w:lineRule="auto"/>
      </w:pPr>
    </w:p>
    <w:p w14:paraId="781648C9" w14:textId="458D6FDC" w:rsidR="00601B0B" w:rsidRPr="00601B0B" w:rsidRDefault="00601B0B" w:rsidP="00601B0B">
      <w:pPr>
        <w:spacing w:line="240" w:lineRule="auto"/>
        <w:rPr>
          <w:b/>
          <w:bCs/>
        </w:rPr>
      </w:pPr>
      <w:r w:rsidRPr="00601B0B">
        <w:rPr>
          <w:b/>
          <w:bCs/>
        </w:rPr>
        <w:t>For inclusion in the NLTP an activity needs to provide either an IER or a National/Government BCR.</w:t>
      </w:r>
    </w:p>
    <w:p w14:paraId="5806EE37" w14:textId="552C5BC2" w:rsidR="000E0355" w:rsidRDefault="00601B0B" w:rsidP="00F44CB8">
      <w:pPr>
        <w:spacing w:line="240" w:lineRule="auto"/>
      </w:pPr>
      <w:r>
        <w:t xml:space="preserve">An IER </w:t>
      </w:r>
      <w:r w:rsidRPr="00601B0B">
        <w:t>is to be used when you do not have an economic evaluation completed as part of a business case.</w:t>
      </w:r>
      <w:r>
        <w:t xml:space="preserve"> An</w:t>
      </w:r>
      <w:r w:rsidRPr="00601B0B">
        <w:t xml:space="preserve"> IER must be calculated using the </w:t>
      </w:r>
      <w:hyperlink r:id="rId28" w:history="1">
        <w:r w:rsidRPr="00601B0B">
          <w:rPr>
            <w:rStyle w:val="Hyperlink"/>
          </w:rPr>
          <w:t>IER tool</w:t>
        </w:r>
      </w:hyperlink>
      <w:r>
        <w:t>. The example investment is linked to a PBC with a BCR. For inclusion into the NLTP</w:t>
      </w:r>
      <w:r w:rsidR="00F44CB8">
        <w:t>,</w:t>
      </w:r>
      <w:r>
        <w:t xml:space="preserve"> </w:t>
      </w:r>
      <w:r w:rsidR="00F44CB8">
        <w:t>an activity that is part of a programme or package previously endorsed by Waka Kotahi may be assigned Efficiency rating of that programme or package.</w:t>
      </w:r>
      <w:r w:rsidR="000E0355">
        <w:br w:type="page"/>
      </w:r>
    </w:p>
    <w:p w14:paraId="63745FC8" w14:textId="77777777" w:rsidR="000E0355" w:rsidRDefault="000E0355" w:rsidP="00853F6D">
      <w:pPr>
        <w:spacing w:line="240" w:lineRule="auto"/>
      </w:pPr>
    </w:p>
    <w:p w14:paraId="3AC847DB" w14:textId="03F3979A" w:rsidR="000E0355" w:rsidRDefault="00F44CB8" w:rsidP="00853F6D">
      <w:pPr>
        <w:spacing w:line="240" w:lineRule="auto"/>
      </w:pPr>
      <w:r>
        <w:rPr>
          <w:noProof/>
        </w:rPr>
        <w:drawing>
          <wp:anchor distT="0" distB="0" distL="114300" distR="114300" simplePos="0" relativeHeight="251658239" behindDoc="1" locked="0" layoutInCell="1" allowOverlap="1" wp14:anchorId="330B9E14" wp14:editId="152E1074">
            <wp:simplePos x="0" y="0"/>
            <wp:positionH relativeFrom="column">
              <wp:posOffset>0</wp:posOffset>
            </wp:positionH>
            <wp:positionV relativeFrom="paragraph">
              <wp:posOffset>-635</wp:posOffset>
            </wp:positionV>
            <wp:extent cx="5810250" cy="13811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810250" cy="1381125"/>
                    </a:xfrm>
                    <a:prstGeom prst="rect">
                      <a:avLst/>
                    </a:prstGeom>
                  </pic:spPr>
                </pic:pic>
              </a:graphicData>
            </a:graphic>
          </wp:anchor>
        </w:drawing>
      </w:r>
    </w:p>
    <w:p w14:paraId="3CD1A5F9" w14:textId="77777777" w:rsidR="000E0355" w:rsidRDefault="000E0355" w:rsidP="00853F6D">
      <w:pPr>
        <w:spacing w:line="240" w:lineRule="auto"/>
      </w:pPr>
    </w:p>
    <w:p w14:paraId="12495527" w14:textId="77777777" w:rsidR="000E0355" w:rsidRDefault="000E0355" w:rsidP="00853F6D">
      <w:pPr>
        <w:spacing w:line="240" w:lineRule="auto"/>
      </w:pPr>
    </w:p>
    <w:p w14:paraId="6FF5A48E" w14:textId="77777777" w:rsidR="00F44CB8" w:rsidRDefault="00F44CB8" w:rsidP="00853F6D">
      <w:pPr>
        <w:spacing w:line="240" w:lineRule="auto"/>
      </w:pPr>
    </w:p>
    <w:p w14:paraId="2AF267F1" w14:textId="77777777" w:rsidR="00F44CB8" w:rsidRDefault="00F44CB8" w:rsidP="00853F6D">
      <w:pPr>
        <w:spacing w:line="240" w:lineRule="auto"/>
      </w:pPr>
    </w:p>
    <w:p w14:paraId="460D5D99" w14:textId="77777777" w:rsidR="00F44CB8" w:rsidRDefault="00F44CB8" w:rsidP="00853F6D">
      <w:pPr>
        <w:spacing w:line="240" w:lineRule="auto"/>
      </w:pPr>
    </w:p>
    <w:p w14:paraId="2B46E6A9" w14:textId="77777777" w:rsidR="00653A77" w:rsidRDefault="00F44CB8" w:rsidP="00F44CB8">
      <w:pPr>
        <w:spacing w:line="240" w:lineRule="auto"/>
      </w:pPr>
      <w:r>
        <w:t>BCR represent</w:t>
      </w:r>
      <w:r w:rsidR="00653A77">
        <w:t>s</w:t>
      </w:r>
      <w:r>
        <w:t xml:space="preserve"> present value of total benefits divided by present value of total costs. WEBs are indirect benefits additional to those captured in conventional appraisal methods, for example changes in productivity and local labour markets.</w:t>
      </w:r>
      <w:r w:rsidR="00653A77">
        <w:t xml:space="preserve"> </w:t>
      </w:r>
      <w:r w:rsidR="00653A77" w:rsidRPr="00653A77">
        <w:t>The example investment is linked to a PBC with a BCR</w:t>
      </w:r>
      <w:r w:rsidR="00653A77">
        <w:t xml:space="preserve"> and therefore this BCR of the PBC has been used for inclusion into the NLTP.</w:t>
      </w:r>
    </w:p>
    <w:p w14:paraId="0DA50F49" w14:textId="15BCB799" w:rsidR="00653A77" w:rsidRDefault="00653A77" w:rsidP="00F44CB8">
      <w:pPr>
        <w:spacing w:line="240" w:lineRule="auto"/>
      </w:pPr>
      <w:r>
        <w:rPr>
          <w:noProof/>
        </w:rPr>
        <w:drawing>
          <wp:anchor distT="0" distB="0" distL="114300" distR="114300" simplePos="0" relativeHeight="251689984" behindDoc="0" locked="0" layoutInCell="1" allowOverlap="1" wp14:anchorId="03DC158B" wp14:editId="31E42B02">
            <wp:simplePos x="0" y="0"/>
            <wp:positionH relativeFrom="margin">
              <wp:align>left</wp:align>
            </wp:positionH>
            <wp:positionV relativeFrom="paragraph">
              <wp:posOffset>11241</wp:posOffset>
            </wp:positionV>
            <wp:extent cx="5429250" cy="1028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29250" cy="1028700"/>
                    </a:xfrm>
                    <a:prstGeom prst="rect">
                      <a:avLst/>
                    </a:prstGeom>
                  </pic:spPr>
                </pic:pic>
              </a:graphicData>
            </a:graphic>
          </wp:anchor>
        </w:drawing>
      </w:r>
    </w:p>
    <w:p w14:paraId="3862096A" w14:textId="77777777" w:rsidR="00653A77" w:rsidRDefault="00653A77" w:rsidP="00F44CB8">
      <w:pPr>
        <w:spacing w:line="240" w:lineRule="auto"/>
      </w:pPr>
    </w:p>
    <w:p w14:paraId="5B2E3608" w14:textId="77777777" w:rsidR="00653A77" w:rsidRDefault="00653A77" w:rsidP="00F44CB8">
      <w:pPr>
        <w:spacing w:line="240" w:lineRule="auto"/>
      </w:pPr>
    </w:p>
    <w:p w14:paraId="03D35755" w14:textId="77777777" w:rsidR="00653A77" w:rsidRDefault="00653A77" w:rsidP="00F44CB8">
      <w:pPr>
        <w:spacing w:line="240" w:lineRule="auto"/>
      </w:pPr>
    </w:p>
    <w:p w14:paraId="287372A4" w14:textId="77777777" w:rsidR="00653A77" w:rsidRDefault="00653A77" w:rsidP="00F44CB8">
      <w:pPr>
        <w:spacing w:line="240" w:lineRule="auto"/>
      </w:pPr>
    </w:p>
    <w:p w14:paraId="160ACD84" w14:textId="08EF47E5" w:rsidR="00653A77" w:rsidRDefault="00653A77" w:rsidP="00F44CB8">
      <w:pPr>
        <w:spacing w:line="240" w:lineRule="auto"/>
      </w:pPr>
      <w:r w:rsidRPr="00653A77">
        <w:t>The BCRG is intended to indicate the level of benefits obtained from investment of government funds in situations where it is necessary to cover service provider costs in the event of a funding gap for the operation of PT services, or when government funding is mitigated by the availability of third-party funding.</w:t>
      </w:r>
      <w:r>
        <w:t xml:space="preserve"> This is not applicable for this investment and therefore is not required for neither NLTP inclusion, nor funding approval.</w:t>
      </w:r>
    </w:p>
    <w:p w14:paraId="730AC2B4" w14:textId="1054312D" w:rsidR="00653A77" w:rsidRDefault="00D66DD6" w:rsidP="00F44CB8">
      <w:pPr>
        <w:spacing w:line="240" w:lineRule="auto"/>
      </w:pPr>
      <w:r>
        <w:rPr>
          <w:noProof/>
        </w:rPr>
        <w:drawing>
          <wp:anchor distT="0" distB="0" distL="114300" distR="114300" simplePos="0" relativeHeight="251692032" behindDoc="0" locked="0" layoutInCell="1" allowOverlap="1" wp14:anchorId="1EBB1A9E" wp14:editId="5BD3499B">
            <wp:simplePos x="0" y="0"/>
            <wp:positionH relativeFrom="column">
              <wp:posOffset>0</wp:posOffset>
            </wp:positionH>
            <wp:positionV relativeFrom="paragraph">
              <wp:posOffset>-635</wp:posOffset>
            </wp:positionV>
            <wp:extent cx="5429250" cy="18192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29250" cy="1819275"/>
                    </a:xfrm>
                    <a:prstGeom prst="rect">
                      <a:avLst/>
                    </a:prstGeom>
                  </pic:spPr>
                </pic:pic>
              </a:graphicData>
            </a:graphic>
            <wp14:sizeRelH relativeFrom="margin">
              <wp14:pctWidth>0</wp14:pctWidth>
            </wp14:sizeRelH>
            <wp14:sizeRelV relativeFrom="margin">
              <wp14:pctHeight>0</wp14:pctHeight>
            </wp14:sizeRelV>
          </wp:anchor>
        </w:drawing>
      </w:r>
    </w:p>
    <w:p w14:paraId="67E43BA4" w14:textId="39D0E290" w:rsidR="00653A77" w:rsidRDefault="00653A77" w:rsidP="00F44CB8">
      <w:pPr>
        <w:spacing w:line="240" w:lineRule="auto"/>
      </w:pPr>
    </w:p>
    <w:p w14:paraId="1D907BF1" w14:textId="4AEF86EB" w:rsidR="00653A77" w:rsidRDefault="00653A77" w:rsidP="00F44CB8">
      <w:pPr>
        <w:spacing w:line="240" w:lineRule="auto"/>
      </w:pPr>
    </w:p>
    <w:p w14:paraId="6217D251" w14:textId="77777777" w:rsidR="00653A77" w:rsidRDefault="00653A77" w:rsidP="00F44CB8">
      <w:pPr>
        <w:spacing w:line="240" w:lineRule="auto"/>
      </w:pPr>
    </w:p>
    <w:p w14:paraId="62A96D8A" w14:textId="77777777" w:rsidR="00D66DD6" w:rsidRDefault="00D66DD6" w:rsidP="00F44CB8">
      <w:pPr>
        <w:spacing w:line="240" w:lineRule="auto"/>
      </w:pPr>
    </w:p>
    <w:p w14:paraId="51C6ECA9" w14:textId="77777777" w:rsidR="00D66DD6" w:rsidRDefault="00D66DD6" w:rsidP="00F44CB8">
      <w:pPr>
        <w:spacing w:line="240" w:lineRule="auto"/>
      </w:pPr>
    </w:p>
    <w:p w14:paraId="48F36A1F" w14:textId="77777777" w:rsidR="00D66DD6" w:rsidRDefault="00D66DD6" w:rsidP="00F44CB8">
      <w:pPr>
        <w:spacing w:line="240" w:lineRule="auto"/>
      </w:pPr>
    </w:p>
    <w:p w14:paraId="1DEAB9FF" w14:textId="77777777" w:rsidR="00D66DD6" w:rsidRDefault="00D66DD6" w:rsidP="00F44CB8">
      <w:pPr>
        <w:spacing w:line="240" w:lineRule="auto"/>
      </w:pPr>
    </w:p>
    <w:p w14:paraId="07B5CD16" w14:textId="77777777" w:rsidR="00CA397A" w:rsidRDefault="00CA397A" w:rsidP="00F44CB8">
      <w:pPr>
        <w:spacing w:line="240" w:lineRule="auto"/>
      </w:pPr>
    </w:p>
    <w:p w14:paraId="740E10C3" w14:textId="33C0D4F0" w:rsidR="00D66DD6" w:rsidRPr="00D66DD6" w:rsidRDefault="00D66DD6" w:rsidP="00F44CB8">
      <w:pPr>
        <w:spacing w:line="240" w:lineRule="auto"/>
      </w:pPr>
      <w:r w:rsidRPr="00D66DD6">
        <w:t xml:space="preserve">Please refer to our </w:t>
      </w:r>
      <w:hyperlink r:id="rId32" w:history="1">
        <w:r w:rsidRPr="00D66DD6">
          <w:rPr>
            <w:rStyle w:val="Hyperlink"/>
          </w:rPr>
          <w:t>cost estimation manual</w:t>
        </w:r>
      </w:hyperlink>
      <w:r w:rsidRPr="00D66DD6">
        <w:t xml:space="preserve"> for further information on how to estimate the total expected capital cost.</w:t>
      </w:r>
    </w:p>
    <w:p w14:paraId="5DBE4D92" w14:textId="4F791B03" w:rsidR="00D66DD6" w:rsidRPr="00D66DD6" w:rsidRDefault="00D66DD6" w:rsidP="00F44CB8">
      <w:pPr>
        <w:spacing w:line="240" w:lineRule="auto"/>
        <w:rPr>
          <w:b/>
          <w:bCs/>
        </w:rPr>
      </w:pPr>
      <w:r w:rsidRPr="00D66DD6">
        <w:rPr>
          <w:b/>
          <w:bCs/>
        </w:rPr>
        <w:t>The total expected capital cost is required for NLTP inclusion.</w:t>
      </w:r>
    </w:p>
    <w:p w14:paraId="2CFBB5C5" w14:textId="77777777" w:rsidR="00D66DD6" w:rsidRDefault="00D66DD6">
      <w:pPr>
        <w:spacing w:after="0" w:line="240" w:lineRule="auto"/>
      </w:pPr>
      <w:r>
        <w:br w:type="page"/>
      </w:r>
    </w:p>
    <w:p w14:paraId="2D1D8F1C" w14:textId="41111E0D" w:rsidR="00D66DD6" w:rsidRDefault="00D66DD6" w:rsidP="00F44CB8">
      <w:pPr>
        <w:spacing w:line="240" w:lineRule="auto"/>
      </w:pPr>
      <w:r>
        <w:rPr>
          <w:noProof/>
        </w:rPr>
        <w:lastRenderedPageBreak/>
        <w:drawing>
          <wp:anchor distT="0" distB="0" distL="114300" distR="114300" simplePos="0" relativeHeight="251694080" behindDoc="0" locked="0" layoutInCell="1" allowOverlap="1" wp14:anchorId="48BAA8D2" wp14:editId="3BEB60CC">
            <wp:simplePos x="0" y="0"/>
            <wp:positionH relativeFrom="column">
              <wp:posOffset>0</wp:posOffset>
            </wp:positionH>
            <wp:positionV relativeFrom="paragraph">
              <wp:posOffset>0</wp:posOffset>
            </wp:positionV>
            <wp:extent cx="5419725" cy="10858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19725" cy="1085850"/>
                    </a:xfrm>
                    <a:prstGeom prst="rect">
                      <a:avLst/>
                    </a:prstGeom>
                  </pic:spPr>
                </pic:pic>
              </a:graphicData>
            </a:graphic>
          </wp:anchor>
        </w:drawing>
      </w:r>
    </w:p>
    <w:p w14:paraId="647EEDE9" w14:textId="77777777" w:rsidR="00D66DD6" w:rsidRDefault="00D66DD6" w:rsidP="00F44CB8">
      <w:pPr>
        <w:spacing w:line="240" w:lineRule="auto"/>
      </w:pPr>
    </w:p>
    <w:p w14:paraId="061822D9" w14:textId="77777777" w:rsidR="00D66DD6" w:rsidRDefault="00D66DD6" w:rsidP="00F44CB8">
      <w:pPr>
        <w:spacing w:line="240" w:lineRule="auto"/>
      </w:pPr>
    </w:p>
    <w:p w14:paraId="273F0541" w14:textId="77777777" w:rsidR="00D66DD6" w:rsidRDefault="00D66DD6" w:rsidP="00F44CB8">
      <w:pPr>
        <w:spacing w:line="240" w:lineRule="auto"/>
      </w:pPr>
    </w:p>
    <w:p w14:paraId="5D06118A" w14:textId="77777777" w:rsidR="00D66DD6" w:rsidRDefault="00D66DD6" w:rsidP="00F44CB8">
      <w:pPr>
        <w:spacing w:line="240" w:lineRule="auto"/>
      </w:pPr>
    </w:p>
    <w:p w14:paraId="662622DF" w14:textId="39FA2723" w:rsidR="00D66DD6" w:rsidRDefault="00D66DD6" w:rsidP="00D66DD6">
      <w:pPr>
        <w:spacing w:line="240" w:lineRule="auto"/>
      </w:pPr>
      <w:r>
        <w:t xml:space="preserve">The </w:t>
      </w:r>
      <w:r>
        <w:rPr>
          <w:rFonts w:ascii="Arial" w:hAnsi="Arial" w:cs="Arial"/>
          <w:b/>
          <w:bCs/>
          <w:color w:val="202124"/>
          <w:shd w:val="clear" w:color="auto" w:fill="FFFFFF"/>
        </w:rPr>
        <w:t>95th percentile total cost</w:t>
      </w:r>
      <w:r>
        <w:rPr>
          <w:rFonts w:ascii="Arial" w:hAnsi="Arial" w:cs="Arial"/>
          <w:color w:val="202124"/>
          <w:shd w:val="clear" w:color="auto" w:fill="FFFFFF"/>
        </w:rPr>
        <w:t> says that 95% of the time, the cost is at or below this amount.</w:t>
      </w:r>
      <w:r w:rsidR="00B02A55">
        <w:rPr>
          <w:rFonts w:ascii="Arial" w:hAnsi="Arial" w:cs="Arial"/>
          <w:color w:val="202124"/>
          <w:shd w:val="clear" w:color="auto" w:fill="FFFFFF"/>
        </w:rPr>
        <w:t xml:space="preserve"> This field is required for funding approval </w:t>
      </w:r>
      <w:r w:rsidR="00CA397A">
        <w:rPr>
          <w:rFonts w:ascii="Arial" w:hAnsi="Arial" w:cs="Arial"/>
          <w:color w:val="202124"/>
          <w:shd w:val="clear" w:color="auto" w:fill="FFFFFF"/>
        </w:rPr>
        <w:t>if</w:t>
      </w:r>
      <w:r w:rsidR="00B02A55">
        <w:rPr>
          <w:rFonts w:ascii="Arial" w:hAnsi="Arial" w:cs="Arial"/>
          <w:color w:val="202124"/>
          <w:shd w:val="clear" w:color="auto" w:fill="FFFFFF"/>
        </w:rPr>
        <w:t xml:space="preserve"> the </w:t>
      </w:r>
      <w:r w:rsidR="00CA397A">
        <w:rPr>
          <w:rFonts w:ascii="Arial" w:hAnsi="Arial" w:cs="Arial"/>
          <w:color w:val="202124"/>
          <w:shd w:val="clear" w:color="auto" w:fill="FFFFFF"/>
        </w:rPr>
        <w:t>expected</w:t>
      </w:r>
      <w:r w:rsidR="00B02A55">
        <w:rPr>
          <w:rFonts w:ascii="Arial" w:hAnsi="Arial" w:cs="Arial"/>
          <w:color w:val="202124"/>
          <w:shd w:val="clear" w:color="auto" w:fill="FFFFFF"/>
        </w:rPr>
        <w:t xml:space="preserve"> Capital Cost is $10m or greater. </w:t>
      </w:r>
      <w:r>
        <w:rPr>
          <w:rFonts w:ascii="Arial" w:hAnsi="Arial" w:cs="Arial"/>
          <w:color w:val="202124"/>
          <w:shd w:val="clear" w:color="auto" w:fill="FFFFFF"/>
        </w:rPr>
        <w:t xml:space="preserve"> </w:t>
      </w:r>
      <w:r w:rsidRPr="00D66DD6">
        <w:t xml:space="preserve">Please refer to our </w:t>
      </w:r>
      <w:hyperlink r:id="rId34" w:history="1">
        <w:r w:rsidRPr="00D66DD6">
          <w:rPr>
            <w:rStyle w:val="Hyperlink"/>
          </w:rPr>
          <w:t>cost estimation manual</w:t>
        </w:r>
      </w:hyperlink>
      <w:r w:rsidRPr="00D66DD6">
        <w:t xml:space="preserve"> for further information on how to estimate the </w:t>
      </w:r>
      <w:r>
        <w:t>95</w:t>
      </w:r>
      <w:r w:rsidRPr="00D66DD6">
        <w:rPr>
          <w:vertAlign w:val="superscript"/>
        </w:rPr>
        <w:t>th</w:t>
      </w:r>
      <w:r>
        <w:t xml:space="preserve"> percentile total cost</w:t>
      </w:r>
      <w:r w:rsidRPr="00D66DD6">
        <w:t>.</w:t>
      </w:r>
    </w:p>
    <w:p w14:paraId="34FE8399" w14:textId="53F8CA6E" w:rsidR="00691FA0" w:rsidRPr="00D66DD6" w:rsidRDefault="00B92191" w:rsidP="00D66DD6">
      <w:pPr>
        <w:spacing w:line="240" w:lineRule="auto"/>
      </w:pPr>
      <w:r>
        <w:t xml:space="preserve">Most activities will be funded from the NLTF only, however, some activities </w:t>
      </w:r>
      <w:r w:rsidR="00CA397A">
        <w:t>may be</w:t>
      </w:r>
      <w:r>
        <w:t xml:space="preserve"> funded by way of loan, external or government funded, or through delivery models like public private partnerships. Information on the activity’s funding plan is only required for funding approval only.</w:t>
      </w:r>
    </w:p>
    <w:p w14:paraId="23EE43CE" w14:textId="1E5C17A6" w:rsidR="00D66DD6" w:rsidRDefault="00B92191" w:rsidP="00F44CB8">
      <w:pPr>
        <w:spacing w:line="240" w:lineRule="auto"/>
      </w:pPr>
      <w:r>
        <w:rPr>
          <w:noProof/>
        </w:rPr>
        <w:drawing>
          <wp:anchor distT="0" distB="0" distL="114300" distR="114300" simplePos="0" relativeHeight="251696128" behindDoc="0" locked="0" layoutInCell="1" allowOverlap="1" wp14:anchorId="4E03FAFE" wp14:editId="7908AD7B">
            <wp:simplePos x="0" y="0"/>
            <wp:positionH relativeFrom="margin">
              <wp:align>left</wp:align>
            </wp:positionH>
            <wp:positionV relativeFrom="paragraph">
              <wp:posOffset>915</wp:posOffset>
            </wp:positionV>
            <wp:extent cx="4536374" cy="2454614"/>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36374" cy="2454614"/>
                    </a:xfrm>
                    <a:prstGeom prst="rect">
                      <a:avLst/>
                    </a:prstGeom>
                  </pic:spPr>
                </pic:pic>
              </a:graphicData>
            </a:graphic>
            <wp14:sizeRelH relativeFrom="margin">
              <wp14:pctWidth>0</wp14:pctWidth>
            </wp14:sizeRelH>
            <wp14:sizeRelV relativeFrom="margin">
              <wp14:pctHeight>0</wp14:pctHeight>
            </wp14:sizeRelV>
          </wp:anchor>
        </w:drawing>
      </w:r>
    </w:p>
    <w:p w14:paraId="0C72F01E" w14:textId="77777777" w:rsidR="00D66DD6" w:rsidRDefault="00D66DD6" w:rsidP="00F44CB8">
      <w:pPr>
        <w:spacing w:line="240" w:lineRule="auto"/>
      </w:pPr>
    </w:p>
    <w:p w14:paraId="7E26EE3F" w14:textId="77777777" w:rsidR="00B92191" w:rsidRDefault="00B92191" w:rsidP="00F44CB8">
      <w:pPr>
        <w:spacing w:line="240" w:lineRule="auto"/>
      </w:pPr>
    </w:p>
    <w:p w14:paraId="2197E273" w14:textId="77777777" w:rsidR="00B92191" w:rsidRDefault="00B92191" w:rsidP="00F44CB8">
      <w:pPr>
        <w:spacing w:line="240" w:lineRule="auto"/>
      </w:pPr>
    </w:p>
    <w:p w14:paraId="0898DC9F" w14:textId="77777777" w:rsidR="00B92191" w:rsidRDefault="00B92191" w:rsidP="00F44CB8">
      <w:pPr>
        <w:spacing w:line="240" w:lineRule="auto"/>
      </w:pPr>
    </w:p>
    <w:p w14:paraId="23BB86FA" w14:textId="77777777" w:rsidR="00B92191" w:rsidRDefault="00B92191" w:rsidP="00F44CB8">
      <w:pPr>
        <w:spacing w:line="240" w:lineRule="auto"/>
      </w:pPr>
    </w:p>
    <w:p w14:paraId="6D85F5ED" w14:textId="77777777" w:rsidR="00B92191" w:rsidRDefault="00B92191" w:rsidP="00F44CB8">
      <w:pPr>
        <w:spacing w:line="240" w:lineRule="auto"/>
      </w:pPr>
    </w:p>
    <w:p w14:paraId="5E75ABAF" w14:textId="77777777" w:rsidR="00B92191" w:rsidRDefault="00B92191" w:rsidP="00F44CB8">
      <w:pPr>
        <w:spacing w:line="240" w:lineRule="auto"/>
      </w:pPr>
    </w:p>
    <w:p w14:paraId="658BE99D" w14:textId="77777777" w:rsidR="00B92191" w:rsidRDefault="00B92191" w:rsidP="00F44CB8">
      <w:pPr>
        <w:spacing w:line="240" w:lineRule="auto"/>
      </w:pPr>
    </w:p>
    <w:p w14:paraId="3FBCD7E9" w14:textId="77777777" w:rsidR="00B92191" w:rsidRDefault="00B92191" w:rsidP="00F44CB8">
      <w:pPr>
        <w:spacing w:line="240" w:lineRule="auto"/>
      </w:pPr>
    </w:p>
    <w:p w14:paraId="14276CE1" w14:textId="77777777" w:rsidR="00B92191" w:rsidRDefault="00B92191" w:rsidP="00F44CB8">
      <w:pPr>
        <w:spacing w:line="240" w:lineRule="auto"/>
      </w:pPr>
    </w:p>
    <w:p w14:paraId="3DF3DF77" w14:textId="044A7B16" w:rsidR="00B92191" w:rsidRDefault="00B92191" w:rsidP="00F44CB8">
      <w:pPr>
        <w:spacing w:line="240" w:lineRule="auto"/>
      </w:pPr>
      <w:r>
        <w:t>This section</w:t>
      </w:r>
      <w:r w:rsidR="008C0570">
        <w:t xml:space="preserve"> is completed by a Waka Kotahi Investment Advisor and</w:t>
      </w:r>
      <w:r>
        <w:t xml:space="preserve"> is not required to be completed</w:t>
      </w:r>
      <w:r w:rsidR="00EF4893">
        <w:t xml:space="preserve"> for NLTP inclusions and is not required to be completed</w:t>
      </w:r>
      <w:r>
        <w:t xml:space="preserve"> until each of the activity’s business case phases is complete and </w:t>
      </w:r>
      <w:r w:rsidR="00EF4893">
        <w:t xml:space="preserve">the business case </w:t>
      </w:r>
      <w:r>
        <w:t>is being submitted for endorsement.</w:t>
      </w:r>
    </w:p>
    <w:p w14:paraId="57FF5400" w14:textId="77777777" w:rsidR="00CA397A" w:rsidRDefault="00EF4893" w:rsidP="00F44CB8">
      <w:pPr>
        <w:spacing w:line="240" w:lineRule="auto"/>
      </w:pPr>
      <w:r>
        <w:t xml:space="preserve">An </w:t>
      </w:r>
      <w:hyperlink r:id="rId36" w:history="1">
        <w:r w:rsidRPr="00EF4893">
          <w:rPr>
            <w:rStyle w:val="Hyperlink"/>
          </w:rPr>
          <w:t>IQA template</w:t>
        </w:r>
      </w:hyperlink>
      <w:r>
        <w:t xml:space="preserve"> should be completed and </w:t>
      </w:r>
      <w:r w:rsidRPr="00EF4893">
        <w:t>provided to decision makers to ensure</w:t>
      </w:r>
      <w:r w:rsidR="00CA397A">
        <w:t>:</w:t>
      </w:r>
      <w:r w:rsidRPr="00EF4893">
        <w:t xml:space="preserve"> </w:t>
      </w:r>
    </w:p>
    <w:p w14:paraId="3C865DB0" w14:textId="77777777" w:rsidR="00CA397A" w:rsidRDefault="00CA397A" w:rsidP="00CA397A">
      <w:pPr>
        <w:pStyle w:val="ListParagraph"/>
        <w:numPr>
          <w:ilvl w:val="0"/>
          <w:numId w:val="38"/>
        </w:numPr>
        <w:spacing w:line="240" w:lineRule="auto"/>
      </w:pPr>
      <w:r>
        <w:t>s</w:t>
      </w:r>
      <w:r w:rsidR="00EF4893" w:rsidRPr="00EF4893">
        <w:t xml:space="preserve">tatutory legal obligations are met </w:t>
      </w:r>
    </w:p>
    <w:p w14:paraId="7FF9A049" w14:textId="77777777" w:rsidR="00CA397A" w:rsidRDefault="00EF4893" w:rsidP="00CA397A">
      <w:pPr>
        <w:pStyle w:val="ListParagraph"/>
        <w:numPr>
          <w:ilvl w:val="0"/>
          <w:numId w:val="38"/>
        </w:numPr>
        <w:spacing w:line="240" w:lineRule="auto"/>
      </w:pPr>
      <w:r w:rsidRPr="00EF4893">
        <w:t>TIO is up to date</w:t>
      </w:r>
    </w:p>
    <w:p w14:paraId="1CED201E" w14:textId="77777777" w:rsidR="00CA397A" w:rsidRDefault="00EF4893" w:rsidP="00CA397A">
      <w:pPr>
        <w:pStyle w:val="ListParagraph"/>
        <w:numPr>
          <w:ilvl w:val="0"/>
          <w:numId w:val="38"/>
        </w:numPr>
        <w:spacing w:line="240" w:lineRule="auto"/>
      </w:pPr>
      <w:r>
        <w:t xml:space="preserve">the activity </w:t>
      </w:r>
      <w:r w:rsidRPr="00EF4893">
        <w:t xml:space="preserve">fits with </w:t>
      </w:r>
      <w:r>
        <w:t>Waka Kotahi</w:t>
      </w:r>
      <w:r w:rsidRPr="00EF4893">
        <w:t xml:space="preserve"> investment principles and the </w:t>
      </w:r>
      <w:r>
        <w:t>IPM</w:t>
      </w:r>
    </w:p>
    <w:p w14:paraId="1F0C7550" w14:textId="509FC8F4" w:rsidR="00330887" w:rsidRDefault="00EF4893" w:rsidP="00CA397A">
      <w:pPr>
        <w:pStyle w:val="ListParagraph"/>
        <w:numPr>
          <w:ilvl w:val="0"/>
          <w:numId w:val="38"/>
        </w:numPr>
        <w:spacing w:line="240" w:lineRule="auto"/>
      </w:pPr>
      <w:r w:rsidRPr="00EF4893">
        <w:t>the necessary requirements for investment decisions</w:t>
      </w:r>
      <w:r w:rsidR="00330887">
        <w:t xml:space="preserve"> have been completed</w:t>
      </w:r>
      <w:r w:rsidRPr="00EF4893">
        <w:t xml:space="preserve"> and </w:t>
      </w:r>
      <w:r w:rsidR="00330887">
        <w:t xml:space="preserve">the activity </w:t>
      </w:r>
      <w:r w:rsidRPr="00EF4893">
        <w:t>is ready to move to the next phase.</w:t>
      </w:r>
    </w:p>
    <w:p w14:paraId="2971268D" w14:textId="77777777" w:rsidR="00CA397A" w:rsidRDefault="00CA397A">
      <w:pPr>
        <w:spacing w:after="0" w:line="240" w:lineRule="auto"/>
      </w:pPr>
      <w:r>
        <w:br w:type="page"/>
      </w:r>
    </w:p>
    <w:p w14:paraId="7A28A98E" w14:textId="61C55321" w:rsidR="00330887" w:rsidRDefault="00CA397A" w:rsidP="00F44CB8">
      <w:pPr>
        <w:spacing w:line="240" w:lineRule="auto"/>
      </w:pPr>
      <w:r>
        <w:lastRenderedPageBreak/>
        <w:t>The assessed business case rating is required to be input into TIO which is one of the following ratings:</w:t>
      </w:r>
    </w:p>
    <w:p w14:paraId="5EC0DCAB" w14:textId="246BFEA9" w:rsidR="00330887" w:rsidRDefault="00330887" w:rsidP="00330887">
      <w:pPr>
        <w:pStyle w:val="ListParagraph"/>
        <w:numPr>
          <w:ilvl w:val="0"/>
          <w:numId w:val="37"/>
        </w:numPr>
        <w:spacing w:line="240" w:lineRule="auto"/>
      </w:pPr>
      <w:r w:rsidRPr="00330887">
        <w:rPr>
          <w:b/>
          <w:bCs/>
        </w:rPr>
        <w:t>Pass</w:t>
      </w:r>
      <w:r>
        <w:t xml:space="preserve"> - Signifies that a robust proposal that meets the expectations of Waka Kotahi and the Business Case Approach (BCA) principles have been applied relevant to the phase of the business case.</w:t>
      </w:r>
    </w:p>
    <w:p w14:paraId="52CD05A3" w14:textId="5B321E01" w:rsidR="008C0570" w:rsidRDefault="00330887" w:rsidP="00330887">
      <w:pPr>
        <w:pStyle w:val="ListParagraph"/>
        <w:numPr>
          <w:ilvl w:val="0"/>
          <w:numId w:val="37"/>
        </w:numPr>
        <w:spacing w:line="240" w:lineRule="auto"/>
      </w:pPr>
      <w:r w:rsidRPr="00330887">
        <w:rPr>
          <w:b/>
          <w:bCs/>
        </w:rPr>
        <w:t>Rework</w:t>
      </w:r>
      <w:r>
        <w:t xml:space="preserve"> – Waka Kotahi considers that further work is required</w:t>
      </w:r>
      <w:r w:rsidR="008C0570">
        <w:t xml:space="preserve"> to ensure the</w:t>
      </w:r>
      <w:r>
        <w:t xml:space="preserve"> business case</w:t>
      </w:r>
      <w:r w:rsidR="008C0570">
        <w:t xml:space="preserve"> is robust</w:t>
      </w:r>
      <w:r>
        <w:t>.</w:t>
      </w:r>
      <w:r w:rsidR="008C0570">
        <w:t xml:space="preserve"> The business case will either need to be updated to achieve a pass assessment (condition precedent) or proceed to the next phase with conditions attached (condition subsequent).</w:t>
      </w:r>
    </w:p>
    <w:p w14:paraId="3F8A543F" w14:textId="77777777" w:rsidR="008C0570" w:rsidRDefault="008C0570" w:rsidP="008C0570">
      <w:pPr>
        <w:pStyle w:val="ListParagraph"/>
        <w:numPr>
          <w:ilvl w:val="0"/>
          <w:numId w:val="37"/>
        </w:numPr>
        <w:spacing w:line="240" w:lineRule="auto"/>
      </w:pPr>
      <w:r>
        <w:rPr>
          <w:b/>
          <w:bCs/>
        </w:rPr>
        <w:t xml:space="preserve">Fail </w:t>
      </w:r>
      <w:r>
        <w:t>– The business case has not provided the necessary evidence to support the investment proposal. In most cases the business will need to be updated and reassessed.</w:t>
      </w:r>
    </w:p>
    <w:p w14:paraId="1F6024B4" w14:textId="77777777" w:rsidR="008C0570" w:rsidRDefault="008C0570" w:rsidP="008C0570">
      <w:pPr>
        <w:spacing w:line="240" w:lineRule="auto"/>
      </w:pPr>
      <w:r>
        <w:t>The Investment Advisor will also p</w:t>
      </w:r>
      <w:r w:rsidRPr="008C0570">
        <w:t>rovide brief commentary to demonstrate the overall outcome of the assessment of the business case</w:t>
      </w:r>
      <w:r>
        <w:t xml:space="preserve"> and </w:t>
      </w:r>
      <w:r w:rsidRPr="008C0570">
        <w:t xml:space="preserve">a summary of any conditions on </w:t>
      </w:r>
      <w:r>
        <w:t xml:space="preserve">attached to the </w:t>
      </w:r>
      <w:r w:rsidRPr="008C0570">
        <w:t>business case.</w:t>
      </w:r>
    </w:p>
    <w:p w14:paraId="583AD346" w14:textId="531CA65C" w:rsidR="008C0570" w:rsidRDefault="008C0570" w:rsidP="008C0570">
      <w:pPr>
        <w:spacing w:line="240" w:lineRule="auto"/>
      </w:pPr>
    </w:p>
    <w:p w14:paraId="09BD56E4" w14:textId="2EA38B1D" w:rsidR="008C0570" w:rsidRDefault="00583B99" w:rsidP="008C0570">
      <w:pPr>
        <w:spacing w:line="240" w:lineRule="auto"/>
      </w:pPr>
      <w:r>
        <w:rPr>
          <w:noProof/>
        </w:rPr>
        <w:drawing>
          <wp:anchor distT="0" distB="0" distL="114300" distR="114300" simplePos="0" relativeHeight="251701248" behindDoc="0" locked="0" layoutInCell="1" allowOverlap="1" wp14:anchorId="63651F11" wp14:editId="2A80E353">
            <wp:simplePos x="0" y="0"/>
            <wp:positionH relativeFrom="column">
              <wp:posOffset>0</wp:posOffset>
            </wp:positionH>
            <wp:positionV relativeFrom="paragraph">
              <wp:posOffset>-635</wp:posOffset>
            </wp:positionV>
            <wp:extent cx="9790430" cy="4963160"/>
            <wp:effectExtent l="0" t="0" r="127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90430" cy="4963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D25E2D" w14:textId="29F745F5" w:rsidR="008C0570" w:rsidRDefault="008C0570" w:rsidP="008C0570">
      <w:pPr>
        <w:spacing w:line="240" w:lineRule="auto"/>
      </w:pPr>
    </w:p>
    <w:p w14:paraId="22F88FC8" w14:textId="77777777" w:rsidR="008C0570" w:rsidRDefault="008C0570" w:rsidP="008C0570">
      <w:pPr>
        <w:spacing w:line="240" w:lineRule="auto"/>
      </w:pPr>
    </w:p>
    <w:p w14:paraId="66FBF015" w14:textId="706FA811" w:rsidR="00583B99" w:rsidRDefault="00583B99">
      <w:pPr>
        <w:spacing w:after="0" w:line="240" w:lineRule="auto"/>
      </w:pPr>
      <w:r>
        <w:rPr>
          <w:noProof/>
        </w:rPr>
        <mc:AlternateContent>
          <mc:Choice Requires="wps">
            <w:drawing>
              <wp:anchor distT="45720" distB="45720" distL="114300" distR="114300" simplePos="0" relativeHeight="251700224" behindDoc="0" locked="0" layoutInCell="1" allowOverlap="1" wp14:anchorId="6B99F391" wp14:editId="1EA2017B">
                <wp:simplePos x="0" y="0"/>
                <wp:positionH relativeFrom="margin">
                  <wp:align>left</wp:align>
                </wp:positionH>
                <wp:positionV relativeFrom="paragraph">
                  <wp:posOffset>4225290</wp:posOffset>
                </wp:positionV>
                <wp:extent cx="9773285" cy="14719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285" cy="1471930"/>
                        </a:xfrm>
                        <a:prstGeom prst="rect">
                          <a:avLst/>
                        </a:prstGeom>
                        <a:solidFill>
                          <a:srgbClr val="FFFFFF"/>
                        </a:solidFill>
                        <a:ln w="9525">
                          <a:noFill/>
                          <a:miter lim="800000"/>
                          <a:headEnd/>
                          <a:tailEnd/>
                        </a:ln>
                      </wps:spPr>
                      <wps:txbx>
                        <w:txbxContent>
                          <w:p w14:paraId="69127079" w14:textId="1C924A62" w:rsidR="008C0570" w:rsidRDefault="008C0570">
                            <w:r>
                              <w:t xml:space="preserve">The activity owner will need to </w:t>
                            </w:r>
                            <w:r w:rsidR="00583B99">
                              <w:t xml:space="preserve">provide their own Investment Prioritisation Method (IPM) profile which is split between the three factors of GPS Alignment, Scheduling and Efficiency. The activity owner will need provide commentary on how they came to determine their rating, including any evidence to support their assessment. A waka Kotahi Investment </w:t>
                            </w:r>
                            <w:r w:rsidR="00AF1E3B">
                              <w:t>Advisor will complete the ‘NZ Transport Agency Assessment’ which includes the Advisor completing their own independent assessment of the activity’s IPM profile. For each rating, the advisor will also need provide commentary on how they came to determine their rating, including any evidence to support their assessment.</w:t>
                            </w:r>
                          </w:p>
                          <w:p w14:paraId="7C070E95" w14:textId="3D7D0085" w:rsidR="003F2402" w:rsidRPr="00AF1E3B" w:rsidRDefault="003F2402" w:rsidP="003F2402">
                            <w:pPr>
                              <w:rPr>
                                <w:b/>
                                <w:bCs/>
                              </w:rPr>
                            </w:pPr>
                            <w:r w:rsidRPr="00AF1E3B">
                              <w:rPr>
                                <w:b/>
                                <w:bCs/>
                              </w:rPr>
                              <w:t xml:space="preserve">A completed </w:t>
                            </w:r>
                            <w:r>
                              <w:rPr>
                                <w:b/>
                                <w:bCs/>
                              </w:rPr>
                              <w:t>Owner</w:t>
                            </w:r>
                            <w:r w:rsidRPr="00AF1E3B">
                              <w:rPr>
                                <w:b/>
                                <w:bCs/>
                              </w:rPr>
                              <w:t xml:space="preserve"> assessment is required for </w:t>
                            </w:r>
                            <w:r>
                              <w:rPr>
                                <w:b/>
                                <w:bCs/>
                              </w:rPr>
                              <w:t>submission to the RTC</w:t>
                            </w:r>
                            <w:r w:rsidRPr="00AF1E3B">
                              <w:rPr>
                                <w:b/>
                                <w:bCs/>
                              </w:rPr>
                              <w:t>.</w:t>
                            </w:r>
                          </w:p>
                          <w:p w14:paraId="333C521E" w14:textId="6466BD80" w:rsidR="00AF1E3B" w:rsidRDefault="00AF1E3B">
                            <w:r>
                              <w:t xml:space="preserve">The activity owner and NZ Transport Agency assessment should be both based on the </w:t>
                            </w:r>
                            <w:hyperlink r:id="rId38" w:history="1">
                              <w:r w:rsidRPr="00AF1E3B">
                                <w:rPr>
                                  <w:rStyle w:val="Hyperlink"/>
                                </w:rPr>
                                <w:t>IPM</w:t>
                              </w:r>
                            </w:hyperlink>
                            <w:r>
                              <w:t>.</w:t>
                            </w:r>
                            <w:r w:rsidR="0081216C">
                              <w:t xml:space="preserve"> Both the activity owner and NZTA investment priority order is calculated automatically by TIO when all 3 ratings have been provided and the page has been saved.</w:t>
                            </w:r>
                          </w:p>
                          <w:p w14:paraId="2DFDFDE6" w14:textId="27BC7B89" w:rsidR="00AF1E3B" w:rsidRPr="00AF1E3B" w:rsidRDefault="00AF1E3B">
                            <w:pPr>
                              <w:rPr>
                                <w:b/>
                                <w:bCs/>
                              </w:rPr>
                            </w:pPr>
                            <w:r w:rsidRPr="00AF1E3B">
                              <w:rPr>
                                <w:b/>
                                <w:bCs/>
                              </w:rPr>
                              <w:t>A completed NZ Transport Agency assessment is required for NLTP inclusion.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9F391" id="_x0000_t202" coordsize="21600,21600" o:spt="202" path="m,l,21600r21600,l21600,xe">
                <v:stroke joinstyle="miter"/>
                <v:path gradientshapeok="t" o:connecttype="rect"/>
              </v:shapetype>
              <v:shape id="Text Box 2" o:spid="_x0000_s1026" type="#_x0000_t202" style="position:absolute;margin-left:0;margin-top:332.7pt;width:769.55pt;height:115.9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" stroked="f">
                <v:textbox>
                  <w:txbxContent>
                    <w:p w14:paraId="69127079" w14:textId="1C924A62" w:rsidR="008C0570" w:rsidRDefault="008C0570">
                      <w:r>
                        <w:t xml:space="preserve">The activity owner will need to </w:t>
                      </w:r>
                      <w:r w:rsidR="00583B99">
                        <w:t xml:space="preserve">provide their own Investment Prioritisation Method (IPM) profile which is split between the three factors of GPS Alignment, Scheduling and Efficiency. The activity owner will need provide commentary on how they came to determine their rating, including any evidence to support their assessment. A waka Kotahi Investment </w:t>
                      </w:r>
                      <w:r w:rsidR="00AF1E3B">
                        <w:t>Advisor will complete the ‘NZ Transport Agency Assessment’ which includes the Advisor completing their own independent assessment of the activity’s IPM profile. For each rating, the advisor will also need provide commentary on how they came to determine their rating, including any evidence to support their assessment.</w:t>
                      </w:r>
                    </w:p>
                    <w:p w14:paraId="7C070E95" w14:textId="3D7D0085" w:rsidR="003F2402" w:rsidRPr="00AF1E3B" w:rsidRDefault="003F2402" w:rsidP="003F2402">
                      <w:pPr>
                        <w:rPr>
                          <w:b/>
                          <w:bCs/>
                        </w:rPr>
                      </w:pPr>
                      <w:r w:rsidRPr="00AF1E3B">
                        <w:rPr>
                          <w:b/>
                          <w:bCs/>
                        </w:rPr>
                        <w:t xml:space="preserve">A completed </w:t>
                      </w:r>
                      <w:r>
                        <w:rPr>
                          <w:b/>
                          <w:bCs/>
                        </w:rPr>
                        <w:t>Owner</w:t>
                      </w:r>
                      <w:r w:rsidRPr="00AF1E3B">
                        <w:rPr>
                          <w:b/>
                          <w:bCs/>
                        </w:rPr>
                        <w:t xml:space="preserve"> assessment is required for </w:t>
                      </w:r>
                      <w:r>
                        <w:rPr>
                          <w:b/>
                          <w:bCs/>
                        </w:rPr>
                        <w:t>submission to the RTC</w:t>
                      </w:r>
                      <w:r w:rsidRPr="00AF1E3B">
                        <w:rPr>
                          <w:b/>
                          <w:bCs/>
                        </w:rPr>
                        <w:t>.</w:t>
                      </w:r>
                    </w:p>
                    <w:p w14:paraId="333C521E" w14:textId="6466BD80" w:rsidR="00AF1E3B" w:rsidRDefault="00AF1E3B">
                      <w:r>
                        <w:t xml:space="preserve">The activity owner and NZ Transport Agency assessment should be both based on the </w:t>
                      </w:r>
                      <w:hyperlink r:id="rId39" w:history="1">
                        <w:r w:rsidRPr="00AF1E3B">
                          <w:rPr>
                            <w:rStyle w:val="Hyperlink"/>
                          </w:rPr>
                          <w:t>IPM</w:t>
                        </w:r>
                      </w:hyperlink>
                      <w:r>
                        <w:t>.</w:t>
                      </w:r>
                      <w:r w:rsidR="0081216C">
                        <w:t xml:space="preserve"> Both the activity owner and NZTA investment priority order is calculated automatically by TIO when all 3 ratings have been provided and the page has been saved.</w:t>
                      </w:r>
                    </w:p>
                    <w:p w14:paraId="2DFDFDE6" w14:textId="27BC7B89" w:rsidR="00AF1E3B" w:rsidRPr="00AF1E3B" w:rsidRDefault="00AF1E3B">
                      <w:pPr>
                        <w:rPr>
                          <w:b/>
                          <w:bCs/>
                        </w:rPr>
                      </w:pPr>
                      <w:r w:rsidRPr="00AF1E3B">
                        <w:rPr>
                          <w:b/>
                          <w:bCs/>
                        </w:rPr>
                        <w:t>A completed NZ Transport Agency assessment is required for NLTP inclusion.</w:t>
                      </w:r>
                    </w:p>
                  </w:txbxContent>
                </v:textbox>
                <w10:wrap type="square" anchorx="margin"/>
              </v:shape>
            </w:pict>
          </mc:Fallback>
        </mc:AlternateContent>
      </w:r>
      <w:r>
        <w:br w:type="page"/>
      </w:r>
    </w:p>
    <w:p w14:paraId="2E317D23" w14:textId="6861FCE0" w:rsidR="00AF1E3B" w:rsidRDefault="00770D9A" w:rsidP="008C0570">
      <w:pPr>
        <w:spacing w:line="240" w:lineRule="auto"/>
      </w:pPr>
      <w:r>
        <w:rPr>
          <w:noProof/>
        </w:rPr>
        <w:lastRenderedPageBreak/>
        <w:drawing>
          <wp:anchor distT="0" distB="0" distL="114300" distR="114300" simplePos="0" relativeHeight="251722752" behindDoc="0" locked="0" layoutInCell="1" allowOverlap="1" wp14:anchorId="122EFD49" wp14:editId="2FB7A02E">
            <wp:simplePos x="0" y="0"/>
            <wp:positionH relativeFrom="column">
              <wp:posOffset>0</wp:posOffset>
            </wp:positionH>
            <wp:positionV relativeFrom="paragraph">
              <wp:posOffset>0</wp:posOffset>
            </wp:positionV>
            <wp:extent cx="5600700" cy="28860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600700" cy="2886075"/>
                    </a:xfrm>
                    <a:prstGeom prst="rect">
                      <a:avLst/>
                    </a:prstGeom>
                  </pic:spPr>
                </pic:pic>
              </a:graphicData>
            </a:graphic>
          </wp:anchor>
        </w:drawing>
      </w:r>
    </w:p>
    <w:p w14:paraId="2EBCD50A" w14:textId="77777777" w:rsidR="00AF1E3B" w:rsidRDefault="00AF1E3B" w:rsidP="008C0570">
      <w:pPr>
        <w:spacing w:line="240" w:lineRule="auto"/>
      </w:pPr>
    </w:p>
    <w:p w14:paraId="1480231E" w14:textId="77777777" w:rsidR="00AF1E3B" w:rsidRDefault="00AF1E3B" w:rsidP="008C0570">
      <w:pPr>
        <w:spacing w:line="240" w:lineRule="auto"/>
      </w:pPr>
    </w:p>
    <w:p w14:paraId="4089673B" w14:textId="77777777" w:rsidR="00AF1E3B" w:rsidRDefault="00AF1E3B" w:rsidP="008C0570">
      <w:pPr>
        <w:spacing w:line="240" w:lineRule="auto"/>
      </w:pPr>
    </w:p>
    <w:p w14:paraId="1DF5400C" w14:textId="77777777" w:rsidR="00AF1E3B" w:rsidRDefault="00AF1E3B" w:rsidP="008C0570">
      <w:pPr>
        <w:spacing w:line="240" w:lineRule="auto"/>
      </w:pPr>
    </w:p>
    <w:p w14:paraId="6BC9CA08" w14:textId="77777777" w:rsidR="00AF1E3B" w:rsidRDefault="00AF1E3B" w:rsidP="008C0570">
      <w:pPr>
        <w:spacing w:line="240" w:lineRule="auto"/>
      </w:pPr>
    </w:p>
    <w:p w14:paraId="5C57652D" w14:textId="77777777" w:rsidR="00AF1E3B" w:rsidRDefault="00AF1E3B" w:rsidP="008C0570">
      <w:pPr>
        <w:spacing w:line="240" w:lineRule="auto"/>
      </w:pPr>
    </w:p>
    <w:p w14:paraId="3D27CEA2" w14:textId="77777777" w:rsidR="00AF1E3B" w:rsidRDefault="00AF1E3B" w:rsidP="008C0570">
      <w:pPr>
        <w:spacing w:line="240" w:lineRule="auto"/>
      </w:pPr>
    </w:p>
    <w:p w14:paraId="12BAE17C" w14:textId="77777777" w:rsidR="00AF1E3B" w:rsidRDefault="00AF1E3B" w:rsidP="008C0570">
      <w:pPr>
        <w:spacing w:line="240" w:lineRule="auto"/>
      </w:pPr>
    </w:p>
    <w:p w14:paraId="292D7303" w14:textId="77777777" w:rsidR="00AF1E3B" w:rsidRDefault="00AF1E3B" w:rsidP="008C0570">
      <w:pPr>
        <w:spacing w:line="240" w:lineRule="auto"/>
      </w:pPr>
    </w:p>
    <w:p w14:paraId="16C11033" w14:textId="77777777" w:rsidR="00AF1E3B" w:rsidRDefault="00AF1E3B" w:rsidP="008C0570">
      <w:pPr>
        <w:spacing w:line="240" w:lineRule="auto"/>
      </w:pPr>
    </w:p>
    <w:p w14:paraId="4BF7EAC5" w14:textId="77777777" w:rsidR="00AF1E3B" w:rsidRDefault="00AF1E3B" w:rsidP="008C0570">
      <w:pPr>
        <w:spacing w:line="240" w:lineRule="auto"/>
      </w:pPr>
    </w:p>
    <w:p w14:paraId="0676CACB" w14:textId="77777777" w:rsidR="00AF1E3B" w:rsidRDefault="00AF1E3B" w:rsidP="008C0570">
      <w:pPr>
        <w:spacing w:line="240" w:lineRule="auto"/>
      </w:pPr>
    </w:p>
    <w:p w14:paraId="5E331431" w14:textId="77777777" w:rsidR="00AF1E3B" w:rsidRDefault="00AF1E3B" w:rsidP="008C0570">
      <w:pPr>
        <w:spacing w:line="240" w:lineRule="auto"/>
      </w:pPr>
    </w:p>
    <w:p w14:paraId="51B3BAFE" w14:textId="77777777" w:rsidR="00AF1E3B" w:rsidRPr="00AF1E3B" w:rsidRDefault="00AF1E3B" w:rsidP="008C0570">
      <w:pPr>
        <w:spacing w:line="240" w:lineRule="auto"/>
        <w:rPr>
          <w:b/>
          <w:bCs/>
        </w:rPr>
      </w:pPr>
      <w:r w:rsidRPr="00AF1E3B">
        <w:rPr>
          <w:b/>
          <w:bCs/>
        </w:rPr>
        <w:t>All phase that will be begin within the NLTP cycle will need to be completed for inclusion in the NLTP.</w:t>
      </w:r>
    </w:p>
    <w:p w14:paraId="1ECFF719" w14:textId="77777777" w:rsidR="001E0910" w:rsidRDefault="00AF1E3B" w:rsidP="008C0570">
      <w:pPr>
        <w:spacing w:line="240" w:lineRule="auto"/>
      </w:pPr>
      <w:r>
        <w:t xml:space="preserve">The activity will have two phases within the NLTP cycle, one for a Single Stage Business Case Lite and the other for Implementation. Additional phases can be added to the activity using the ‘Add a </w:t>
      </w:r>
      <w:r w:rsidR="001E0910">
        <w:t>phase’ link.</w:t>
      </w:r>
    </w:p>
    <w:p w14:paraId="77A32B6A" w14:textId="293191D5" w:rsidR="00DC5651" w:rsidRDefault="00770D9A" w:rsidP="008C0570">
      <w:pPr>
        <w:spacing w:line="240" w:lineRule="auto"/>
      </w:pPr>
      <w:r>
        <w:t xml:space="preserve">The phase label is not </w:t>
      </w:r>
      <w:r w:rsidRPr="00770D9A">
        <w:t>mandatory but can be helpful in identifying the phase, particularly where there are many phases under a single activity.</w:t>
      </w:r>
      <w:r w:rsidR="00DC5651">
        <w:t xml:space="preserve"> As this activity is simple with only two phases, we have not added a phase label. </w:t>
      </w:r>
    </w:p>
    <w:p w14:paraId="7BEBD1F5" w14:textId="0D474A6D" w:rsidR="001E0910" w:rsidRDefault="00DC5651" w:rsidP="008C0570">
      <w:pPr>
        <w:spacing w:line="240" w:lineRule="auto"/>
      </w:pPr>
      <w:r w:rsidRPr="00DC5651">
        <w:rPr>
          <w:i/>
          <w:iCs/>
        </w:rPr>
        <w:t>Note: While</w:t>
      </w:r>
      <w:r w:rsidR="001E0910" w:rsidRPr="00DC5651">
        <w:rPr>
          <w:i/>
          <w:iCs/>
        </w:rPr>
        <w:t xml:space="preserve"> the </w:t>
      </w:r>
      <w:hyperlink r:id="rId41" w:history="1">
        <w:r w:rsidR="001E0910" w:rsidRPr="00DC5651">
          <w:rPr>
            <w:rStyle w:val="Hyperlink"/>
            <w:i/>
            <w:iCs/>
          </w:rPr>
          <w:t>Naming Guidelines</w:t>
        </w:r>
      </w:hyperlink>
      <w:r w:rsidR="001E0910" w:rsidRPr="00DC5651">
        <w:rPr>
          <w:rStyle w:val="Hyperlink"/>
          <w:i/>
          <w:iCs/>
        </w:rPr>
        <w:t xml:space="preserve"> </w:t>
      </w:r>
      <w:r w:rsidR="001E0910" w:rsidRPr="00DC5651">
        <w:rPr>
          <w:i/>
          <w:iCs/>
        </w:rPr>
        <w:t>do not apply, the phase label should be sensible</w:t>
      </w:r>
      <w:r w:rsidR="004A1F8B" w:rsidRPr="00DC5651">
        <w:rPr>
          <w:i/>
          <w:iCs/>
        </w:rPr>
        <w:t xml:space="preserve"> and differentiate between phases of the same type</w:t>
      </w:r>
      <w:r w:rsidR="005566FE">
        <w:t>.</w:t>
      </w:r>
      <w:r w:rsidR="001E0910">
        <w:t xml:space="preserve"> </w:t>
      </w:r>
    </w:p>
    <w:p w14:paraId="4EB08DE6" w14:textId="77777777" w:rsidR="001E0910" w:rsidRDefault="001E0910" w:rsidP="008C0570">
      <w:pPr>
        <w:spacing w:line="240" w:lineRule="auto"/>
        <w:rPr>
          <w:b/>
          <w:bCs/>
        </w:rPr>
      </w:pPr>
      <w:r w:rsidRPr="001E0910">
        <w:rPr>
          <w:b/>
          <w:bCs/>
        </w:rPr>
        <w:t>The phase type is a requirement for NLTP inclusion and needs to reflect the phase being included within the NLTP.</w:t>
      </w:r>
    </w:p>
    <w:p w14:paraId="7C861A82" w14:textId="77777777" w:rsidR="001E0910" w:rsidRDefault="001E0910" w:rsidP="008C0570">
      <w:pPr>
        <w:spacing w:line="240" w:lineRule="auto"/>
      </w:pPr>
      <w:r w:rsidRPr="001E0910">
        <w:t>The phase reference is the organisation's own reference for the activity. This may be the WBC, SAP code or other accounting code, for example. As this is a Waka Kotahi project the field it is left blank as an TIO links directly to the Waka Kotahi SAP system. This is not mandatory.</w:t>
      </w:r>
    </w:p>
    <w:p w14:paraId="01D52092" w14:textId="695D0551" w:rsidR="00A16DBA" w:rsidRDefault="00A16DBA" w:rsidP="008C0570">
      <w:pPr>
        <w:spacing w:line="240" w:lineRule="auto"/>
      </w:pPr>
      <w:r>
        <w:rPr>
          <w:noProof/>
        </w:rPr>
        <w:drawing>
          <wp:anchor distT="0" distB="0" distL="114300" distR="114300" simplePos="0" relativeHeight="251705344" behindDoc="0" locked="0" layoutInCell="1" allowOverlap="1" wp14:anchorId="3B06E5E8" wp14:editId="4A493277">
            <wp:simplePos x="0" y="0"/>
            <wp:positionH relativeFrom="margin">
              <wp:align>left</wp:align>
            </wp:positionH>
            <wp:positionV relativeFrom="paragraph">
              <wp:posOffset>9129</wp:posOffset>
            </wp:positionV>
            <wp:extent cx="4845132" cy="10880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845132" cy="1088030"/>
                    </a:xfrm>
                    <a:prstGeom prst="rect">
                      <a:avLst/>
                    </a:prstGeom>
                  </pic:spPr>
                </pic:pic>
              </a:graphicData>
            </a:graphic>
            <wp14:sizeRelH relativeFrom="margin">
              <wp14:pctWidth>0</wp14:pctWidth>
            </wp14:sizeRelH>
            <wp14:sizeRelV relativeFrom="margin">
              <wp14:pctHeight>0</wp14:pctHeight>
            </wp14:sizeRelV>
          </wp:anchor>
        </w:drawing>
      </w:r>
    </w:p>
    <w:p w14:paraId="6DE43FE3" w14:textId="77777777" w:rsidR="00A16DBA" w:rsidRDefault="00A16DBA" w:rsidP="008C0570">
      <w:pPr>
        <w:spacing w:line="240" w:lineRule="auto"/>
      </w:pPr>
    </w:p>
    <w:p w14:paraId="420CB6F9" w14:textId="77777777" w:rsidR="00A16DBA" w:rsidRDefault="00A16DBA" w:rsidP="008C0570">
      <w:pPr>
        <w:spacing w:line="240" w:lineRule="auto"/>
      </w:pPr>
    </w:p>
    <w:p w14:paraId="77C97310" w14:textId="77777777" w:rsidR="00A16DBA" w:rsidRDefault="00A16DBA" w:rsidP="008C0570">
      <w:pPr>
        <w:spacing w:line="240" w:lineRule="auto"/>
      </w:pPr>
    </w:p>
    <w:p w14:paraId="4A01A50C" w14:textId="77777777" w:rsidR="00A16DBA" w:rsidRDefault="00A16DBA" w:rsidP="008C0570">
      <w:pPr>
        <w:spacing w:line="240" w:lineRule="auto"/>
      </w:pPr>
    </w:p>
    <w:p w14:paraId="3E95EAF8" w14:textId="77777777" w:rsidR="00D776AF" w:rsidRDefault="00D776AF">
      <w:pPr>
        <w:spacing w:after="0" w:line="240" w:lineRule="auto"/>
      </w:pPr>
      <w:r>
        <w:br w:type="page"/>
      </w:r>
    </w:p>
    <w:p w14:paraId="7CABC915" w14:textId="57B10EE9" w:rsidR="00A16DBA" w:rsidRDefault="00A16DBA" w:rsidP="008C0570">
      <w:pPr>
        <w:spacing w:line="240" w:lineRule="auto"/>
      </w:pPr>
      <w:r>
        <w:lastRenderedPageBreak/>
        <w:t xml:space="preserve">To ensure correct work category mapping the correct mapping year needs to be selected. While not required until funding approval. It is good practice to include the phase scope for NLTP inclusion. The phase scope is </w:t>
      </w:r>
      <w:r w:rsidRPr="00A16DBA">
        <w:t xml:space="preserve">a brief description of </w:t>
      </w:r>
      <w:r>
        <w:t xml:space="preserve">the </w:t>
      </w:r>
      <w:r w:rsidRPr="00A16DBA">
        <w:t>output to be delivered by the phase</w:t>
      </w:r>
      <w:r>
        <w:t>.</w:t>
      </w:r>
    </w:p>
    <w:p w14:paraId="79D56C34" w14:textId="7D85C2AE" w:rsidR="00A16DBA" w:rsidRDefault="00A16DBA" w:rsidP="008C0570">
      <w:pPr>
        <w:spacing w:line="240" w:lineRule="auto"/>
      </w:pPr>
      <w:r>
        <w:rPr>
          <w:noProof/>
        </w:rPr>
        <w:drawing>
          <wp:anchor distT="0" distB="0" distL="114300" distR="114300" simplePos="0" relativeHeight="251707392" behindDoc="0" locked="0" layoutInCell="1" allowOverlap="1" wp14:anchorId="0F8A8420" wp14:editId="4FFB7D4A">
            <wp:simplePos x="0" y="0"/>
            <wp:positionH relativeFrom="column">
              <wp:posOffset>0</wp:posOffset>
            </wp:positionH>
            <wp:positionV relativeFrom="paragraph">
              <wp:posOffset>-635</wp:posOffset>
            </wp:positionV>
            <wp:extent cx="3467100" cy="8382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467100" cy="838200"/>
                    </a:xfrm>
                    <a:prstGeom prst="rect">
                      <a:avLst/>
                    </a:prstGeom>
                  </pic:spPr>
                </pic:pic>
              </a:graphicData>
            </a:graphic>
          </wp:anchor>
        </w:drawing>
      </w:r>
    </w:p>
    <w:p w14:paraId="56612634" w14:textId="77777777" w:rsidR="00A16DBA" w:rsidRDefault="00A16DBA" w:rsidP="008C0570">
      <w:pPr>
        <w:spacing w:line="240" w:lineRule="auto"/>
      </w:pPr>
    </w:p>
    <w:p w14:paraId="6A2C80E2" w14:textId="77777777" w:rsidR="00A16DBA" w:rsidRDefault="00A16DBA" w:rsidP="008C0570">
      <w:pPr>
        <w:spacing w:line="240" w:lineRule="auto"/>
      </w:pPr>
    </w:p>
    <w:p w14:paraId="266CD48E" w14:textId="77777777" w:rsidR="00A16DBA" w:rsidRDefault="00A16DBA" w:rsidP="008C0570">
      <w:pPr>
        <w:spacing w:line="240" w:lineRule="auto"/>
      </w:pPr>
    </w:p>
    <w:p w14:paraId="33F89F75" w14:textId="3F856BA2" w:rsidR="00A16DBA" w:rsidRDefault="00A16DBA" w:rsidP="008C0570">
      <w:pPr>
        <w:spacing w:line="240" w:lineRule="auto"/>
      </w:pPr>
      <w:r>
        <w:t xml:space="preserve">The work category is required to be selected based on the improvement activity being undertaken. </w:t>
      </w:r>
      <w:r w:rsidR="004A1F8B">
        <w:t xml:space="preserve">Most of the time the </w:t>
      </w:r>
      <w:r>
        <w:t>Activity Class field will be automatically populated based on the selected work category</w:t>
      </w:r>
      <w:r w:rsidR="004A1F8B">
        <w:t xml:space="preserve">, but for some road improvement work categories, the owner will also need </w:t>
      </w:r>
      <w:r w:rsidR="00CA397A">
        <w:t>to</w:t>
      </w:r>
      <w:r w:rsidR="004A1F8B">
        <w:t xml:space="preserve"> select the Activity Class, e.g. WC324</w:t>
      </w:r>
    </w:p>
    <w:p w14:paraId="61B8365E" w14:textId="1F3510D6" w:rsidR="0081216C" w:rsidRPr="0081216C" w:rsidRDefault="0081216C" w:rsidP="008C0570">
      <w:pPr>
        <w:spacing w:line="240" w:lineRule="auto"/>
        <w:rPr>
          <w:b/>
          <w:bCs/>
        </w:rPr>
      </w:pPr>
      <w:r>
        <w:rPr>
          <w:noProof/>
        </w:rPr>
        <w:drawing>
          <wp:anchor distT="0" distB="0" distL="114300" distR="114300" simplePos="0" relativeHeight="251709440" behindDoc="0" locked="0" layoutInCell="1" allowOverlap="1" wp14:anchorId="45F1BE64" wp14:editId="51D3ACD2">
            <wp:simplePos x="0" y="0"/>
            <wp:positionH relativeFrom="margin">
              <wp:align>left</wp:align>
            </wp:positionH>
            <wp:positionV relativeFrom="paragraph">
              <wp:posOffset>226711</wp:posOffset>
            </wp:positionV>
            <wp:extent cx="7493330" cy="3386091"/>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7493330" cy="3386091"/>
                    </a:xfrm>
                    <a:prstGeom prst="rect">
                      <a:avLst/>
                    </a:prstGeom>
                  </pic:spPr>
                </pic:pic>
              </a:graphicData>
            </a:graphic>
            <wp14:sizeRelH relativeFrom="margin">
              <wp14:pctWidth>0</wp14:pctWidth>
            </wp14:sizeRelH>
            <wp14:sizeRelV relativeFrom="margin">
              <wp14:pctHeight>0</wp14:pctHeight>
            </wp14:sizeRelV>
          </wp:anchor>
        </w:drawing>
      </w:r>
      <w:r w:rsidR="00A16DBA" w:rsidRPr="0081216C">
        <w:rPr>
          <w:b/>
          <w:bCs/>
        </w:rPr>
        <w:t xml:space="preserve">The work category and activity class are required fields </w:t>
      </w:r>
      <w:r w:rsidRPr="0081216C">
        <w:rPr>
          <w:b/>
          <w:bCs/>
        </w:rPr>
        <w:t>for NLTP inclusion.</w:t>
      </w:r>
    </w:p>
    <w:p w14:paraId="7837E618" w14:textId="1EAAF2E5" w:rsidR="0081216C" w:rsidRDefault="0081216C" w:rsidP="008C0570">
      <w:pPr>
        <w:spacing w:line="240" w:lineRule="auto"/>
      </w:pPr>
    </w:p>
    <w:p w14:paraId="293F8012" w14:textId="77777777" w:rsidR="0081216C" w:rsidRDefault="0081216C" w:rsidP="008C0570">
      <w:pPr>
        <w:spacing w:line="240" w:lineRule="auto"/>
      </w:pPr>
    </w:p>
    <w:p w14:paraId="719E314A" w14:textId="77777777" w:rsidR="00A16DBA" w:rsidRDefault="00A16DBA" w:rsidP="008C0570">
      <w:pPr>
        <w:spacing w:line="240" w:lineRule="auto"/>
      </w:pPr>
    </w:p>
    <w:p w14:paraId="678B5966" w14:textId="77777777" w:rsidR="0081216C" w:rsidRDefault="0081216C" w:rsidP="008C0570">
      <w:pPr>
        <w:spacing w:line="240" w:lineRule="auto"/>
      </w:pPr>
    </w:p>
    <w:p w14:paraId="3A03AAA7" w14:textId="77777777" w:rsidR="0081216C" w:rsidRDefault="0081216C" w:rsidP="008C0570">
      <w:pPr>
        <w:spacing w:line="240" w:lineRule="auto"/>
      </w:pPr>
    </w:p>
    <w:p w14:paraId="2B5A8B5F" w14:textId="77777777" w:rsidR="0081216C" w:rsidRDefault="0081216C" w:rsidP="008C0570">
      <w:pPr>
        <w:spacing w:line="240" w:lineRule="auto"/>
      </w:pPr>
    </w:p>
    <w:p w14:paraId="0CC99EF6" w14:textId="77777777" w:rsidR="0081216C" w:rsidRDefault="0081216C" w:rsidP="008C0570">
      <w:pPr>
        <w:spacing w:line="240" w:lineRule="auto"/>
      </w:pPr>
    </w:p>
    <w:p w14:paraId="207E2BBE" w14:textId="77777777" w:rsidR="0081216C" w:rsidRDefault="0081216C" w:rsidP="008C0570">
      <w:pPr>
        <w:spacing w:line="240" w:lineRule="auto"/>
      </w:pPr>
    </w:p>
    <w:p w14:paraId="55CD23C1" w14:textId="77777777" w:rsidR="0081216C" w:rsidRDefault="0081216C" w:rsidP="008C0570">
      <w:pPr>
        <w:spacing w:line="240" w:lineRule="auto"/>
      </w:pPr>
    </w:p>
    <w:p w14:paraId="1BBFA017" w14:textId="77777777" w:rsidR="0081216C" w:rsidRDefault="0081216C" w:rsidP="008C0570">
      <w:pPr>
        <w:spacing w:line="240" w:lineRule="auto"/>
      </w:pPr>
    </w:p>
    <w:p w14:paraId="7919C2AB" w14:textId="77777777" w:rsidR="0081216C" w:rsidRDefault="0081216C" w:rsidP="008C0570">
      <w:pPr>
        <w:spacing w:line="240" w:lineRule="auto"/>
      </w:pPr>
    </w:p>
    <w:p w14:paraId="08A892AF" w14:textId="77777777" w:rsidR="0081216C" w:rsidRDefault="0081216C" w:rsidP="008C0570">
      <w:pPr>
        <w:spacing w:line="240" w:lineRule="auto"/>
      </w:pPr>
    </w:p>
    <w:p w14:paraId="6C0450B9" w14:textId="77777777" w:rsidR="0081216C" w:rsidRDefault="0081216C" w:rsidP="008C0570">
      <w:pPr>
        <w:spacing w:line="240" w:lineRule="auto"/>
      </w:pPr>
    </w:p>
    <w:p w14:paraId="2F443BC2" w14:textId="77777777" w:rsidR="0081216C" w:rsidRDefault="0081216C" w:rsidP="008C0570">
      <w:pPr>
        <w:spacing w:line="240" w:lineRule="auto"/>
      </w:pPr>
    </w:p>
    <w:p w14:paraId="34297C57" w14:textId="77777777" w:rsidR="0081216C" w:rsidRDefault="0081216C" w:rsidP="008C0570">
      <w:pPr>
        <w:spacing w:line="240" w:lineRule="auto"/>
      </w:pPr>
    </w:p>
    <w:p w14:paraId="61B51859" w14:textId="77777777" w:rsidR="0081216C" w:rsidRDefault="0081216C" w:rsidP="008C0570">
      <w:pPr>
        <w:spacing w:line="240" w:lineRule="auto"/>
      </w:pPr>
    </w:p>
    <w:p w14:paraId="1AA4D8CF" w14:textId="77777777" w:rsidR="0081216C" w:rsidRPr="0081216C" w:rsidRDefault="0081216C" w:rsidP="008C0570">
      <w:pPr>
        <w:spacing w:line="240" w:lineRule="auto"/>
        <w:rPr>
          <w:b/>
          <w:bCs/>
        </w:rPr>
      </w:pPr>
      <w:r w:rsidRPr="0081216C">
        <w:rPr>
          <w:b/>
          <w:bCs/>
        </w:rPr>
        <w:t xml:space="preserve">The expected total cost for this phase of the activity is required for NLTP inclusion. </w:t>
      </w:r>
    </w:p>
    <w:p w14:paraId="365CA06F" w14:textId="77777777" w:rsidR="0081216C" w:rsidRDefault="0081216C" w:rsidP="008C0570">
      <w:pPr>
        <w:spacing w:line="240" w:lineRule="auto"/>
      </w:pPr>
      <w:r>
        <w:t>The total cost of the phase is a</w:t>
      </w:r>
      <w:r w:rsidRPr="0081216C">
        <w:t>n annual cash-flow plan set out for the life of the activity (this may encompass more than one NLTP period).</w:t>
      </w:r>
      <w:r>
        <w:t xml:space="preserve"> The approved allocation will be completed by Waka Kotahi on funding approval for the phase.</w:t>
      </w:r>
    </w:p>
    <w:p w14:paraId="45D42B63" w14:textId="77777777" w:rsidR="0081216C" w:rsidRDefault="0081216C">
      <w:pPr>
        <w:spacing w:after="0" w:line="240" w:lineRule="auto"/>
      </w:pPr>
      <w:r>
        <w:br w:type="page"/>
      </w:r>
    </w:p>
    <w:p w14:paraId="1CB42492" w14:textId="7391B7D5" w:rsidR="0081216C" w:rsidRDefault="0081216C" w:rsidP="008C0570">
      <w:pPr>
        <w:spacing w:line="240" w:lineRule="auto"/>
      </w:pPr>
      <w:r>
        <w:rPr>
          <w:noProof/>
        </w:rPr>
        <w:lastRenderedPageBreak/>
        <mc:AlternateContent>
          <mc:Choice Requires="wps">
            <w:drawing>
              <wp:anchor distT="0" distB="0" distL="114300" distR="114300" simplePos="0" relativeHeight="251712512" behindDoc="0" locked="0" layoutInCell="1" allowOverlap="1" wp14:anchorId="384669A7" wp14:editId="1898A017">
                <wp:simplePos x="0" y="0"/>
                <wp:positionH relativeFrom="column">
                  <wp:posOffset>2190940</wp:posOffset>
                </wp:positionH>
                <wp:positionV relativeFrom="paragraph">
                  <wp:posOffset>19965</wp:posOffset>
                </wp:positionV>
                <wp:extent cx="7398327" cy="15478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398327" cy="1547875"/>
                        </a:xfrm>
                        <a:prstGeom prst="rect">
                          <a:avLst/>
                        </a:prstGeom>
                        <a:solidFill>
                          <a:schemeClr val="lt1"/>
                        </a:solidFill>
                        <a:ln w="6350">
                          <a:noFill/>
                        </a:ln>
                      </wps:spPr>
                      <wps:txbx>
                        <w:txbxContent>
                          <w:p w14:paraId="7FB97CD2" w14:textId="38E756A3" w:rsidR="0081216C" w:rsidRDefault="0081216C">
                            <w:r>
                              <w:t>The total expected capital cost is pulled across from the economic and financial summary page</w:t>
                            </w:r>
                            <w:r w:rsidR="00FC5720">
                              <w:t>.</w:t>
                            </w:r>
                          </w:p>
                          <w:p w14:paraId="1DF37925" w14:textId="327FF700" w:rsidR="00FC5720" w:rsidRDefault="00FC5720">
                            <w:r>
                              <w:t>Additional years are</w:t>
                            </w:r>
                            <w:r w:rsidR="001553AA">
                              <w:t xml:space="preserve"> likely</w:t>
                            </w:r>
                            <w:r>
                              <w:t xml:space="preserve"> only required for large scale</w:t>
                            </w:r>
                            <w:r w:rsidR="001553AA">
                              <w:t xml:space="preserve"> investment </w:t>
                            </w:r>
                            <w:r w:rsidR="009A164F">
                              <w:t>but can be added using the drop down box.</w:t>
                            </w:r>
                          </w:p>
                          <w:p w14:paraId="72337BBC" w14:textId="4C2530FE" w:rsidR="009A164F" w:rsidRDefault="009A164F">
                            <w:r>
                              <w:t>The duration of the activity is automatically calculated TIO when the page is saved based on the annual cashflow information entered into the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4669A7" id="Text Box 28" o:spid="_x0000_s1027" type="#_x0000_t202" style="position:absolute;margin-left:172.5pt;margin-top:1.55pt;width:582.55pt;height:121.9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" fillcolor="white [3201]" stroked="f" strokeweight=".5pt">
                <v:textbox>
                  <w:txbxContent>
                    <w:p w14:paraId="7FB97CD2" w14:textId="38E756A3" w:rsidR="0081216C" w:rsidRDefault="0081216C">
                      <w:r>
                        <w:t>The total expected capital cost is pulled across from the economic and financial summary page</w:t>
                      </w:r>
                      <w:r w:rsidR="00FC5720">
                        <w:t>.</w:t>
                      </w:r>
                    </w:p>
                    <w:p w14:paraId="1DF37925" w14:textId="327FF700" w:rsidR="00FC5720" w:rsidRDefault="00FC5720">
                      <w:r>
                        <w:t>Additional years are</w:t>
                      </w:r>
                      <w:r w:rsidR="001553AA">
                        <w:t xml:space="preserve"> likely</w:t>
                      </w:r>
                      <w:r>
                        <w:t xml:space="preserve"> only required for large scale</w:t>
                      </w:r>
                      <w:r w:rsidR="001553AA">
                        <w:t xml:space="preserve"> investment </w:t>
                      </w:r>
                      <w:r w:rsidR="009A164F">
                        <w:t>but can be added using the drop down box.</w:t>
                      </w:r>
                    </w:p>
                    <w:p w14:paraId="72337BBC" w14:textId="4C2530FE" w:rsidR="009A164F" w:rsidRDefault="009A164F">
                      <w:r>
                        <w:t>The duration of the activity is automatically calculated TIO when the page is saved based on the annual cashflow information entered into the table.</w:t>
                      </w:r>
                    </w:p>
                  </w:txbxContent>
                </v:textbox>
              </v:shape>
            </w:pict>
          </mc:Fallback>
        </mc:AlternateContent>
      </w:r>
      <w:r>
        <w:rPr>
          <w:noProof/>
        </w:rPr>
        <w:drawing>
          <wp:anchor distT="0" distB="0" distL="114300" distR="114300" simplePos="0" relativeHeight="251711488" behindDoc="0" locked="0" layoutInCell="1" allowOverlap="1" wp14:anchorId="1E357BF2" wp14:editId="04E0A98A">
            <wp:simplePos x="0" y="0"/>
            <wp:positionH relativeFrom="column">
              <wp:posOffset>0</wp:posOffset>
            </wp:positionH>
            <wp:positionV relativeFrom="paragraph">
              <wp:posOffset>0</wp:posOffset>
            </wp:positionV>
            <wp:extent cx="2095500" cy="157162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095500" cy="1571625"/>
                    </a:xfrm>
                    <a:prstGeom prst="rect">
                      <a:avLst/>
                    </a:prstGeom>
                  </pic:spPr>
                </pic:pic>
              </a:graphicData>
            </a:graphic>
          </wp:anchor>
        </w:drawing>
      </w:r>
    </w:p>
    <w:p w14:paraId="7EDA4888" w14:textId="36E56979" w:rsidR="0081216C" w:rsidRDefault="0081216C" w:rsidP="008C0570">
      <w:pPr>
        <w:spacing w:line="240" w:lineRule="auto"/>
      </w:pPr>
    </w:p>
    <w:p w14:paraId="1A0C1ACE" w14:textId="5D6D0E20" w:rsidR="0081216C" w:rsidRDefault="0081216C" w:rsidP="008C0570">
      <w:pPr>
        <w:spacing w:line="240" w:lineRule="auto"/>
      </w:pPr>
    </w:p>
    <w:p w14:paraId="3BC3D1CB" w14:textId="62542F5D" w:rsidR="0081216C" w:rsidRDefault="0081216C" w:rsidP="008C0570">
      <w:pPr>
        <w:spacing w:line="240" w:lineRule="auto"/>
      </w:pPr>
    </w:p>
    <w:p w14:paraId="52A9DBB9" w14:textId="595F3959" w:rsidR="0081216C" w:rsidRDefault="0081216C" w:rsidP="008C0570">
      <w:pPr>
        <w:spacing w:line="240" w:lineRule="auto"/>
      </w:pPr>
    </w:p>
    <w:p w14:paraId="3527EFD0" w14:textId="5827C84A" w:rsidR="0081216C" w:rsidRDefault="0081216C" w:rsidP="008C0570">
      <w:pPr>
        <w:spacing w:line="240" w:lineRule="auto"/>
      </w:pPr>
    </w:p>
    <w:p w14:paraId="093BB4E6" w14:textId="52979240" w:rsidR="0081216C" w:rsidRDefault="0081216C" w:rsidP="008C0570">
      <w:pPr>
        <w:spacing w:line="240" w:lineRule="auto"/>
      </w:pPr>
    </w:p>
    <w:p w14:paraId="1BD29205" w14:textId="3750A91F" w:rsidR="0081216C" w:rsidRDefault="009A164F" w:rsidP="008C0570">
      <w:pPr>
        <w:spacing w:line="240" w:lineRule="auto"/>
      </w:pPr>
      <w:r>
        <w:rPr>
          <w:noProof/>
        </w:rPr>
        <w:drawing>
          <wp:anchor distT="0" distB="0" distL="114300" distR="114300" simplePos="0" relativeHeight="251714560" behindDoc="0" locked="0" layoutInCell="1" allowOverlap="1" wp14:anchorId="48A29610" wp14:editId="18A22AAD">
            <wp:simplePos x="0" y="0"/>
            <wp:positionH relativeFrom="margin">
              <wp:align>left</wp:align>
            </wp:positionH>
            <wp:positionV relativeFrom="paragraph">
              <wp:posOffset>221763</wp:posOffset>
            </wp:positionV>
            <wp:extent cx="4900211" cy="4203865"/>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900211" cy="4203865"/>
                    </a:xfrm>
                    <a:prstGeom prst="rect">
                      <a:avLst/>
                    </a:prstGeom>
                  </pic:spPr>
                </pic:pic>
              </a:graphicData>
            </a:graphic>
            <wp14:sizeRelH relativeFrom="margin">
              <wp14:pctWidth>0</wp14:pctWidth>
            </wp14:sizeRelH>
            <wp14:sizeRelV relativeFrom="margin">
              <wp14:pctHeight>0</wp14:pctHeight>
            </wp14:sizeRelV>
          </wp:anchor>
        </w:drawing>
      </w:r>
    </w:p>
    <w:p w14:paraId="2C4ABF7A" w14:textId="2B1C4A82" w:rsidR="0081216C" w:rsidRDefault="0081216C" w:rsidP="008C0570">
      <w:pPr>
        <w:spacing w:line="240" w:lineRule="auto"/>
      </w:pPr>
    </w:p>
    <w:p w14:paraId="09555C43" w14:textId="7D3EF343" w:rsidR="0081216C" w:rsidRDefault="009A164F" w:rsidP="008C0570">
      <w:pPr>
        <w:spacing w:line="240" w:lineRule="auto"/>
      </w:pPr>
      <w:r>
        <w:rPr>
          <w:noProof/>
        </w:rPr>
        <mc:AlternateContent>
          <mc:Choice Requires="wps">
            <w:drawing>
              <wp:anchor distT="45720" distB="45720" distL="114300" distR="114300" simplePos="0" relativeHeight="251716608" behindDoc="0" locked="0" layoutInCell="1" allowOverlap="1" wp14:anchorId="73578B88" wp14:editId="5010FC0F">
                <wp:simplePos x="0" y="0"/>
                <wp:positionH relativeFrom="margin">
                  <wp:align>right</wp:align>
                </wp:positionH>
                <wp:positionV relativeFrom="paragraph">
                  <wp:posOffset>14605</wp:posOffset>
                </wp:positionV>
                <wp:extent cx="4820920" cy="446468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4464685"/>
                        </a:xfrm>
                        <a:prstGeom prst="rect">
                          <a:avLst/>
                        </a:prstGeom>
                        <a:solidFill>
                          <a:srgbClr val="FFFFFF"/>
                        </a:solidFill>
                        <a:ln w="9525">
                          <a:noFill/>
                          <a:miter lim="800000"/>
                          <a:headEnd/>
                          <a:tailEnd/>
                        </a:ln>
                      </wps:spPr>
                      <wps:txbx>
                        <w:txbxContent>
                          <w:p w14:paraId="08EE7CF2" w14:textId="06F31CF3" w:rsidR="009A164F" w:rsidRPr="009A164F" w:rsidRDefault="009A164F">
                            <w:pPr>
                              <w:rPr>
                                <w:b/>
                                <w:bCs/>
                              </w:rPr>
                            </w:pPr>
                            <w:r w:rsidRPr="009A164F">
                              <w:rPr>
                                <w:b/>
                                <w:bCs/>
                              </w:rPr>
                              <w:t>The NZTA recommendation for inclusion in the NLTP is completed by the Waka Kotahi Investment Advisor and is required for inclusion into the NLTP.</w:t>
                            </w:r>
                          </w:p>
                          <w:p w14:paraId="4F6B33FB" w14:textId="628592EB" w:rsidR="009A164F" w:rsidRDefault="009A164F">
                            <w:r>
                              <w:t xml:space="preserve">The Advisor will need to provide a </w:t>
                            </w:r>
                            <w:r w:rsidRPr="009A164F">
                              <w:t xml:space="preserve">rating </w:t>
                            </w:r>
                            <w:r>
                              <w:t xml:space="preserve">on their confidence in the activity </w:t>
                            </w:r>
                            <w:r w:rsidRPr="009A164F">
                              <w:t>proceeding to implementation within the NLTP.</w:t>
                            </w:r>
                            <w:r>
                              <w:t xml:space="preserve"> This rating is from Very Low to Very High.</w:t>
                            </w:r>
                          </w:p>
                          <w:p w14:paraId="39621FEE" w14:textId="743DD331" w:rsidR="009A164F" w:rsidRDefault="009F7B41">
                            <w:r w:rsidRPr="009F7B41">
                              <w:t xml:space="preserve">The </w:t>
                            </w:r>
                            <w:r>
                              <w:t xml:space="preserve">Advisor will select the </w:t>
                            </w:r>
                            <w:r w:rsidRPr="009F7B41">
                              <w:t>work category based on the</w:t>
                            </w:r>
                            <w:r>
                              <w:t>ir assessment of the</w:t>
                            </w:r>
                            <w:r w:rsidRPr="009F7B41">
                              <w:t xml:space="preserve"> improvement activity being undertaken. The Activity Class field will be automatically populated based on the selected work category.</w:t>
                            </w:r>
                          </w:p>
                          <w:p w14:paraId="02DBF724" w14:textId="3496BE38" w:rsidR="009F7B41" w:rsidRDefault="009F7B41">
                            <w:r>
                              <w:t>The advisor will select the funding source based on the provided cashflow and completed economic and financial summary table.</w:t>
                            </w:r>
                          </w:p>
                          <w:p w14:paraId="160C3AE5" w14:textId="5155B14F" w:rsidR="009F7B41" w:rsidRDefault="009F7B41">
                            <w:r>
                              <w:t>The Investment Advisor will provide comments on the activity’s programme recommendation and funding priority which should draw on their Waka Kotahi IPM profile assessment.</w:t>
                            </w:r>
                          </w:p>
                          <w:p w14:paraId="5DFA6382" w14:textId="77777777" w:rsidR="009F7B41" w:rsidRDefault="009F7B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78B88" id="_x0000_s1028" type="#_x0000_t202" style="position:absolute;margin-left:328.4pt;margin-top:1.15pt;width:379.6pt;height:351.5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" stroked="f">
                <v:textbox>
                  <w:txbxContent>
                    <w:p w14:paraId="08EE7CF2" w14:textId="06F31CF3" w:rsidR="009A164F" w:rsidRPr="009A164F" w:rsidRDefault="009A164F">
                      <w:pPr>
                        <w:rPr>
                          <w:b/>
                          <w:bCs/>
                        </w:rPr>
                      </w:pPr>
                      <w:r w:rsidRPr="009A164F">
                        <w:rPr>
                          <w:b/>
                          <w:bCs/>
                        </w:rPr>
                        <w:t>The NZTA recommendation for inclusion in the NLTP is completed by the Waka Kotahi Investment Advisor and is required for inclusion into the NLTP.</w:t>
                      </w:r>
                    </w:p>
                    <w:p w14:paraId="4F6B33FB" w14:textId="628592EB" w:rsidR="009A164F" w:rsidRDefault="009A164F">
                      <w:r>
                        <w:t xml:space="preserve">The Advisor will need to provide a </w:t>
                      </w:r>
                      <w:r w:rsidRPr="009A164F">
                        <w:t xml:space="preserve">rating </w:t>
                      </w:r>
                      <w:r>
                        <w:t xml:space="preserve">on their confidence in the activity </w:t>
                      </w:r>
                      <w:r w:rsidRPr="009A164F">
                        <w:t>proceeding to implementation within the NLTP.</w:t>
                      </w:r>
                      <w:r>
                        <w:t xml:space="preserve"> This rating is from Very Low to Very High.</w:t>
                      </w:r>
                    </w:p>
                    <w:p w14:paraId="39621FEE" w14:textId="743DD331" w:rsidR="009A164F" w:rsidRDefault="009F7B41">
                      <w:r w:rsidRPr="009F7B41">
                        <w:t xml:space="preserve">The </w:t>
                      </w:r>
                      <w:r>
                        <w:t xml:space="preserve">Advisor will select the </w:t>
                      </w:r>
                      <w:r w:rsidRPr="009F7B41">
                        <w:t>work category based on the</w:t>
                      </w:r>
                      <w:r>
                        <w:t>ir assessment of the</w:t>
                      </w:r>
                      <w:r w:rsidRPr="009F7B41">
                        <w:t xml:space="preserve"> improvement activity being undertaken. The Activity Class field will be automatically populated based on the selected work category.</w:t>
                      </w:r>
                    </w:p>
                    <w:p w14:paraId="02DBF724" w14:textId="3496BE38" w:rsidR="009F7B41" w:rsidRDefault="009F7B41">
                      <w:r>
                        <w:t>The advisor will select the funding source based on the provided cashflow and completed economic and financial summary table.</w:t>
                      </w:r>
                    </w:p>
                    <w:p w14:paraId="160C3AE5" w14:textId="5155B14F" w:rsidR="009F7B41" w:rsidRDefault="009F7B41">
                      <w:r>
                        <w:t>The Investment Advisor will provide comments on the activity’s programme recommendation and funding priority which should draw on their Waka Kotahi IPM profile assessment.</w:t>
                      </w:r>
                    </w:p>
                    <w:p w14:paraId="5DFA6382" w14:textId="77777777" w:rsidR="009F7B41" w:rsidRDefault="009F7B41"/>
                  </w:txbxContent>
                </v:textbox>
                <w10:wrap type="square" anchorx="margin"/>
              </v:shape>
            </w:pict>
          </mc:Fallback>
        </mc:AlternateContent>
      </w:r>
    </w:p>
    <w:p w14:paraId="640F6D97" w14:textId="77777777" w:rsidR="0081216C" w:rsidRDefault="0081216C" w:rsidP="008C0570">
      <w:pPr>
        <w:spacing w:line="240" w:lineRule="auto"/>
      </w:pPr>
    </w:p>
    <w:p w14:paraId="2E38796F" w14:textId="0BB6D2E3" w:rsidR="00CB1E4D" w:rsidRPr="00AA235E" w:rsidRDefault="00CB1E4D" w:rsidP="009F7B41">
      <w:pPr>
        <w:spacing w:line="240" w:lineRule="auto"/>
      </w:pPr>
    </w:p>
    <w:sectPr w:rsidR="00CB1E4D" w:rsidRPr="00AA235E" w:rsidSect="00C64FA5">
      <w:footerReference w:type="default" r:id="rId47"/>
      <w:headerReference w:type="first" r:id="rId48"/>
      <w:pgSz w:w="16838" w:h="11906" w:orient="landscape"/>
      <w:pgMar w:top="567" w:right="567" w:bottom="567"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867DB" w14:textId="77777777" w:rsidR="00636BF9" w:rsidRDefault="00636BF9" w:rsidP="002A6A89">
      <w:r>
        <w:separator/>
      </w:r>
    </w:p>
  </w:endnote>
  <w:endnote w:type="continuationSeparator" w:id="0">
    <w:p w14:paraId="11C99F83" w14:textId="77777777" w:rsidR="00636BF9" w:rsidRDefault="00636BF9" w:rsidP="002A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hitney Condensed Book">
    <w:panose1 w:val="00000000000000000000"/>
    <w:charset w:val="00"/>
    <w:family w:val="modern"/>
    <w:notTrueType/>
    <w:pitch w:val="variable"/>
    <w:sig w:usb0="A00000FF" w:usb1="4000004A" w:usb2="00000000" w:usb3="00000000" w:csb0="0000000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333F" w14:textId="0746576F" w:rsidR="000E5E92" w:rsidRPr="00F14DA7" w:rsidRDefault="00F14DA7" w:rsidP="00F14DA7">
    <w:pPr>
      <w:tabs>
        <w:tab w:val="right" w:pos="15420"/>
      </w:tabs>
      <w:rPr>
        <w:color w:val="4792D4" w:themeColor="background2" w:themeTint="99"/>
        <w:sz w:val="16"/>
      </w:rPr>
    </w:pPr>
    <w:r w:rsidRPr="00F14DA7">
      <w:rPr>
        <w:color w:val="4792D4" w:themeColor="background2" w:themeTint="99"/>
        <w:sz w:val="16"/>
      </w:rPr>
      <w:t>Waka Kotahi NZ TRANSPORT AGENCY</w:t>
    </w:r>
    <w:r w:rsidR="00BC4673">
      <w:rPr>
        <w:color w:val="4792D4" w:themeColor="background2" w:themeTint="99"/>
        <w:sz w:val="16"/>
      </w:rPr>
      <w:t xml:space="preserve"> // TIO USER GUIDE – </w:t>
    </w:r>
    <w:r w:rsidR="00705FCF">
      <w:rPr>
        <w:color w:val="4792D4" w:themeColor="background2" w:themeTint="99"/>
        <w:sz w:val="16"/>
      </w:rPr>
      <w:t>CLAIMS</w:t>
    </w:r>
    <w:r w:rsidR="00BC4673">
      <w:rPr>
        <w:color w:val="4792D4" w:themeColor="background2" w:themeTint="99"/>
        <w:sz w:val="16"/>
      </w:rPr>
      <w:t xml:space="preserve"> – Version 1/8/20 </w:t>
    </w:r>
    <w:r w:rsidRPr="00F14DA7">
      <w:rPr>
        <w:color w:val="4792D4" w:themeColor="background2" w:themeTint="99"/>
        <w:sz w:val="16"/>
      </w:rPr>
      <w:tab/>
      <w:t xml:space="preserve">// </w:t>
    </w:r>
    <w:r w:rsidRPr="00F14DA7">
      <w:rPr>
        <w:color w:val="4792D4" w:themeColor="background2" w:themeTint="99"/>
        <w:sz w:val="16"/>
      </w:rPr>
      <w:fldChar w:fldCharType="begin"/>
    </w:r>
    <w:r w:rsidRPr="00F14DA7">
      <w:rPr>
        <w:color w:val="4792D4" w:themeColor="background2" w:themeTint="99"/>
        <w:sz w:val="16"/>
      </w:rPr>
      <w:instrText xml:space="preserve"> PAGE   \* MERGEFORMAT </w:instrText>
    </w:r>
    <w:r w:rsidRPr="00F14DA7">
      <w:rPr>
        <w:color w:val="4792D4" w:themeColor="background2" w:themeTint="99"/>
        <w:sz w:val="16"/>
      </w:rPr>
      <w:fldChar w:fldCharType="separate"/>
    </w:r>
    <w:r w:rsidRPr="00F14DA7">
      <w:rPr>
        <w:color w:val="4792D4" w:themeColor="background2" w:themeTint="99"/>
        <w:sz w:val="16"/>
      </w:rPr>
      <w:t>6</w:t>
    </w:r>
    <w:r w:rsidRPr="00F14DA7">
      <w:rPr>
        <w:noProof/>
        <w:color w:val="4792D4" w:themeColor="background2" w:themeTint="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CFDFA" w14:textId="77777777" w:rsidR="00636BF9" w:rsidRDefault="00636BF9" w:rsidP="002A6A89">
      <w:r>
        <w:separator/>
      </w:r>
    </w:p>
  </w:footnote>
  <w:footnote w:type="continuationSeparator" w:id="0">
    <w:p w14:paraId="66DB4C49" w14:textId="77777777" w:rsidR="00636BF9" w:rsidRDefault="00636BF9" w:rsidP="002A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520A" w14:textId="77777777" w:rsidR="000E5E92" w:rsidRDefault="000E5E92" w:rsidP="009835BD">
    <w:pPr>
      <w:pStyle w:val="Header"/>
      <w:jc w:val="right"/>
    </w:pPr>
    <w:r>
      <w:rPr>
        <w:noProof/>
      </w:rPr>
      <w:drawing>
        <wp:anchor distT="0" distB="0" distL="114300" distR="114300" simplePos="0" relativeHeight="251659776" behindDoc="1" locked="0" layoutInCell="1" allowOverlap="1" wp14:anchorId="5F5C6C59" wp14:editId="77B5826C">
          <wp:simplePos x="0" y="0"/>
          <wp:positionH relativeFrom="column">
            <wp:posOffset>4027805</wp:posOffset>
          </wp:positionH>
          <wp:positionV relativeFrom="paragraph">
            <wp:posOffset>-393065</wp:posOffset>
          </wp:positionV>
          <wp:extent cx="2697996" cy="8386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ka-Kotahi_RGB.png"/>
                  <pic:cNvPicPr/>
                </pic:nvPicPr>
                <pic:blipFill>
                  <a:blip r:embed="rId1">
                    <a:extLst>
                      <a:ext uri="{28A0092B-C50C-407E-A947-70E740481C1C}">
                        <a14:useLocalDpi xmlns:a14="http://schemas.microsoft.com/office/drawing/2010/main" val="0"/>
                      </a:ext>
                    </a:extLst>
                  </a:blip>
                  <a:stretch>
                    <a:fillRect/>
                  </a:stretch>
                </pic:blipFill>
                <pic:spPr>
                  <a:xfrm>
                    <a:off x="0" y="0"/>
                    <a:ext cx="2697996" cy="8386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2431F5"/>
    <w:multiLevelType w:val="hybridMultilevel"/>
    <w:tmpl w:val="B43ACBFE"/>
    <w:lvl w:ilvl="0" w:tplc="7A72D9DA">
      <w:start w:val="1"/>
      <w:numFmt w:val="bullet"/>
      <w:lvlText w:val="►"/>
      <w:lvlJc w:val="left"/>
      <w:pPr>
        <w:ind w:left="360" w:hanging="360"/>
      </w:pPr>
      <w:rPr>
        <w:rFonts w:ascii="Arial" w:hAnsi="Arial" w:hint="default"/>
        <w:color w:val="AFBD22" w:themeColor="text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4FD13CB"/>
    <w:multiLevelType w:val="hybridMultilevel"/>
    <w:tmpl w:val="2ACA07DC"/>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7"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8FD23C7"/>
    <w:multiLevelType w:val="hybridMultilevel"/>
    <w:tmpl w:val="82A2F0EA"/>
    <w:lvl w:ilvl="0" w:tplc="54A2211C">
      <w:start w:val="1"/>
      <w:numFmt w:val="bullet"/>
      <w:lvlText w:val=""/>
      <w:lvlJc w:val="left"/>
      <w:pPr>
        <w:ind w:left="360" w:hanging="360"/>
      </w:pPr>
      <w:rPr>
        <w:rFonts w:ascii="Symbol" w:eastAsia="Calibri"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DC76384"/>
    <w:multiLevelType w:val="hybridMultilevel"/>
    <w:tmpl w:val="F64C58A6"/>
    <w:lvl w:ilvl="0" w:tplc="119A8024">
      <w:start w:val="1"/>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EA1743C"/>
    <w:multiLevelType w:val="hybridMultilevel"/>
    <w:tmpl w:val="DC6A6854"/>
    <w:lvl w:ilvl="0" w:tplc="7A72D9DA">
      <w:start w:val="1"/>
      <w:numFmt w:val="bullet"/>
      <w:lvlText w:val="►"/>
      <w:lvlJc w:val="left"/>
      <w:pPr>
        <w:ind w:left="720" w:hanging="360"/>
      </w:pPr>
      <w:rPr>
        <w:rFonts w:ascii="Arial" w:hAnsi="Arial" w:hint="default"/>
        <w:color w:val="AFBD22"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A5009C"/>
    <w:multiLevelType w:val="hybridMultilevel"/>
    <w:tmpl w:val="3D32EF9E"/>
    <w:lvl w:ilvl="0" w:tplc="003EBA66">
      <w:start w:val="1"/>
      <w:numFmt w:val="bullet"/>
      <w:lvlText w:val="□"/>
      <w:lvlJc w:val="left"/>
      <w:pPr>
        <w:ind w:left="360" w:hanging="360"/>
      </w:pPr>
      <w:rPr>
        <w:rFonts w:ascii="Lucida Sans" w:hAnsi="Lucida San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9012581"/>
    <w:multiLevelType w:val="hybridMultilevel"/>
    <w:tmpl w:val="0CD240FE"/>
    <w:lvl w:ilvl="0" w:tplc="7A72D9DA">
      <w:start w:val="1"/>
      <w:numFmt w:val="bullet"/>
      <w:lvlText w:val="►"/>
      <w:lvlJc w:val="left"/>
      <w:pPr>
        <w:ind w:left="360" w:hanging="360"/>
      </w:pPr>
      <w:rPr>
        <w:rFonts w:ascii="Arial" w:hAnsi="Arial" w:hint="default"/>
        <w:color w:val="AFBD22" w:themeColor="text2"/>
      </w:rPr>
    </w:lvl>
    <w:lvl w:ilvl="1" w:tplc="D68EBFD2">
      <w:start w:val="1"/>
      <w:numFmt w:val="bullet"/>
      <w:lvlText w:val="–"/>
      <w:lvlJc w:val="left"/>
      <w:pPr>
        <w:ind w:left="1080" w:hanging="360"/>
      </w:pPr>
      <w:rPr>
        <w:rFonts w:ascii="Arial Bold" w:hAnsi="Arial Bold" w:hint="default"/>
        <w:b/>
        <w:i w:val="0"/>
        <w:color w:val="AFBD22" w:themeColor="text2"/>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897365"/>
    <w:multiLevelType w:val="hybridMultilevel"/>
    <w:tmpl w:val="73864346"/>
    <w:lvl w:ilvl="0" w:tplc="7A72D9DA">
      <w:start w:val="1"/>
      <w:numFmt w:val="bullet"/>
      <w:lvlText w:val="►"/>
      <w:lvlJc w:val="left"/>
      <w:pPr>
        <w:ind w:left="360" w:hanging="360"/>
      </w:pPr>
      <w:rPr>
        <w:rFonts w:ascii="Arial" w:hAnsi="Arial" w:hint="default"/>
        <w:color w:val="AFBD22" w:themeColor="text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4F36490"/>
    <w:multiLevelType w:val="multilevel"/>
    <w:tmpl w:val="554E0BDE"/>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31" w15:restartNumberingAfterBreak="0">
    <w:nsid w:val="79451BFA"/>
    <w:multiLevelType w:val="hybridMultilevel"/>
    <w:tmpl w:val="08FE3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
  </w:num>
  <w:num w:numId="5">
    <w:abstractNumId w:val="28"/>
  </w:num>
  <w:num w:numId="6">
    <w:abstractNumId w:val="24"/>
  </w:num>
  <w:num w:numId="7">
    <w:abstractNumId w:val="11"/>
  </w:num>
  <w:num w:numId="8">
    <w:abstractNumId w:val="30"/>
  </w:num>
  <w:num w:numId="9">
    <w:abstractNumId w:val="7"/>
  </w:num>
  <w:num w:numId="10">
    <w:abstractNumId w:val="23"/>
  </w:num>
  <w:num w:numId="11">
    <w:abstractNumId w:val="27"/>
  </w:num>
  <w:num w:numId="12">
    <w:abstractNumId w:val="29"/>
  </w:num>
  <w:num w:numId="13">
    <w:abstractNumId w:val="5"/>
  </w:num>
  <w:num w:numId="14">
    <w:abstractNumId w:val="21"/>
  </w:num>
  <w:num w:numId="15">
    <w:abstractNumId w:val="19"/>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16"/>
  </w:num>
  <w:num w:numId="20">
    <w:abstractNumId w:val="16"/>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3"/>
  </w:num>
  <w:num w:numId="22">
    <w:abstractNumId w:val="1"/>
  </w:num>
  <w:num w:numId="23">
    <w:abstractNumId w:val="0"/>
  </w:num>
  <w:num w:numId="24">
    <w:abstractNumId w:val="16"/>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5">
    <w:abstractNumId w:val="16"/>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6">
    <w:abstractNumId w:val="25"/>
  </w:num>
  <w:num w:numId="27">
    <w:abstractNumId w:val="10"/>
  </w:num>
  <w:num w:numId="28">
    <w:abstractNumId w:val="22"/>
  </w:num>
  <w:num w:numId="29">
    <w:abstractNumId w:val="9"/>
  </w:num>
  <w:num w:numId="30">
    <w:abstractNumId w:val="12"/>
  </w:num>
  <w:num w:numId="31">
    <w:abstractNumId w:val="18"/>
  </w:num>
  <w:num w:numId="32">
    <w:abstractNumId w:val="20"/>
  </w:num>
  <w:num w:numId="33">
    <w:abstractNumId w:val="13"/>
  </w:num>
  <w:num w:numId="34">
    <w:abstractNumId w:val="17"/>
  </w:num>
  <w:num w:numId="35">
    <w:abstractNumId w:val="14"/>
  </w:num>
  <w:num w:numId="36">
    <w:abstractNumId w:val="15"/>
  </w:num>
  <w:num w:numId="37">
    <w:abstractNumId w:val="6"/>
  </w:num>
  <w:num w:numId="38">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4F"/>
    <w:rsid w:val="000041CA"/>
    <w:rsid w:val="00005024"/>
    <w:rsid w:val="00006AE2"/>
    <w:rsid w:val="0000771C"/>
    <w:rsid w:val="00010E9B"/>
    <w:rsid w:val="00022464"/>
    <w:rsid w:val="00023700"/>
    <w:rsid w:val="00032023"/>
    <w:rsid w:val="000369F7"/>
    <w:rsid w:val="0004420D"/>
    <w:rsid w:val="000477E5"/>
    <w:rsid w:val="00052B40"/>
    <w:rsid w:val="000571F0"/>
    <w:rsid w:val="00057E8D"/>
    <w:rsid w:val="000615B1"/>
    <w:rsid w:val="00061681"/>
    <w:rsid w:val="000627E1"/>
    <w:rsid w:val="0007104C"/>
    <w:rsid w:val="00071EBA"/>
    <w:rsid w:val="00074104"/>
    <w:rsid w:val="00075EFB"/>
    <w:rsid w:val="00077B5F"/>
    <w:rsid w:val="00083F47"/>
    <w:rsid w:val="00090139"/>
    <w:rsid w:val="00090709"/>
    <w:rsid w:val="00090CE9"/>
    <w:rsid w:val="000A28C5"/>
    <w:rsid w:val="000A7026"/>
    <w:rsid w:val="000B3907"/>
    <w:rsid w:val="000B4FB3"/>
    <w:rsid w:val="000C07B0"/>
    <w:rsid w:val="000C0AE0"/>
    <w:rsid w:val="000C605F"/>
    <w:rsid w:val="000C6160"/>
    <w:rsid w:val="000C675B"/>
    <w:rsid w:val="000D11A6"/>
    <w:rsid w:val="000D202D"/>
    <w:rsid w:val="000D78FE"/>
    <w:rsid w:val="000E0355"/>
    <w:rsid w:val="000E10A9"/>
    <w:rsid w:val="000E3785"/>
    <w:rsid w:val="000E5E92"/>
    <w:rsid w:val="000F127A"/>
    <w:rsid w:val="000F3EE9"/>
    <w:rsid w:val="000F6BA7"/>
    <w:rsid w:val="001025EB"/>
    <w:rsid w:val="00103E1D"/>
    <w:rsid w:val="00103FD4"/>
    <w:rsid w:val="001041D9"/>
    <w:rsid w:val="00106028"/>
    <w:rsid w:val="00114219"/>
    <w:rsid w:val="0011760D"/>
    <w:rsid w:val="00131346"/>
    <w:rsid w:val="001324BC"/>
    <w:rsid w:val="001365B3"/>
    <w:rsid w:val="00137ADD"/>
    <w:rsid w:val="00143B60"/>
    <w:rsid w:val="00143C51"/>
    <w:rsid w:val="00143D5E"/>
    <w:rsid w:val="001539FD"/>
    <w:rsid w:val="001553AA"/>
    <w:rsid w:val="00157021"/>
    <w:rsid w:val="00157BC2"/>
    <w:rsid w:val="00160D68"/>
    <w:rsid w:val="00161990"/>
    <w:rsid w:val="00170237"/>
    <w:rsid w:val="00175395"/>
    <w:rsid w:val="00190621"/>
    <w:rsid w:val="00192AF5"/>
    <w:rsid w:val="001940CC"/>
    <w:rsid w:val="00194F78"/>
    <w:rsid w:val="001A3690"/>
    <w:rsid w:val="001A56B6"/>
    <w:rsid w:val="001B542D"/>
    <w:rsid w:val="001B7122"/>
    <w:rsid w:val="001C4286"/>
    <w:rsid w:val="001D32EE"/>
    <w:rsid w:val="001D366F"/>
    <w:rsid w:val="001D4826"/>
    <w:rsid w:val="001D799C"/>
    <w:rsid w:val="001E0910"/>
    <w:rsid w:val="001E3B57"/>
    <w:rsid w:val="001E3C40"/>
    <w:rsid w:val="001E3E9B"/>
    <w:rsid w:val="001E4B69"/>
    <w:rsid w:val="001F0D4D"/>
    <w:rsid w:val="00202A3C"/>
    <w:rsid w:val="002033EC"/>
    <w:rsid w:val="00205F33"/>
    <w:rsid w:val="0022027D"/>
    <w:rsid w:val="00220D34"/>
    <w:rsid w:val="00236515"/>
    <w:rsid w:val="00250E0A"/>
    <w:rsid w:val="00252190"/>
    <w:rsid w:val="0026329E"/>
    <w:rsid w:val="00264479"/>
    <w:rsid w:val="00271364"/>
    <w:rsid w:val="00287F7A"/>
    <w:rsid w:val="00292D4D"/>
    <w:rsid w:val="00293970"/>
    <w:rsid w:val="00294BBA"/>
    <w:rsid w:val="00295286"/>
    <w:rsid w:val="00295B26"/>
    <w:rsid w:val="002A5D0B"/>
    <w:rsid w:val="002A6A89"/>
    <w:rsid w:val="002A7AE5"/>
    <w:rsid w:val="002B3B43"/>
    <w:rsid w:val="002B4933"/>
    <w:rsid w:val="002B62F6"/>
    <w:rsid w:val="002B6EFF"/>
    <w:rsid w:val="002D125C"/>
    <w:rsid w:val="002D6577"/>
    <w:rsid w:val="002E2A7B"/>
    <w:rsid w:val="002E2C4E"/>
    <w:rsid w:val="002E2CD5"/>
    <w:rsid w:val="002E3D4C"/>
    <w:rsid w:val="002E4B4E"/>
    <w:rsid w:val="002E5E7F"/>
    <w:rsid w:val="002F69E6"/>
    <w:rsid w:val="002F7BBD"/>
    <w:rsid w:val="00307DC8"/>
    <w:rsid w:val="0031199A"/>
    <w:rsid w:val="00312B8B"/>
    <w:rsid w:val="0031406E"/>
    <w:rsid w:val="00314449"/>
    <w:rsid w:val="00323B47"/>
    <w:rsid w:val="0032639D"/>
    <w:rsid w:val="003305B1"/>
    <w:rsid w:val="00330887"/>
    <w:rsid w:val="00331914"/>
    <w:rsid w:val="0034353D"/>
    <w:rsid w:val="003454E3"/>
    <w:rsid w:val="00345B39"/>
    <w:rsid w:val="003562E7"/>
    <w:rsid w:val="00360B43"/>
    <w:rsid w:val="00365F42"/>
    <w:rsid w:val="00367ADC"/>
    <w:rsid w:val="00371540"/>
    <w:rsid w:val="0037314E"/>
    <w:rsid w:val="00374B88"/>
    <w:rsid w:val="003806AB"/>
    <w:rsid w:val="0038409B"/>
    <w:rsid w:val="00386FD7"/>
    <w:rsid w:val="00390A20"/>
    <w:rsid w:val="00394026"/>
    <w:rsid w:val="003B54C2"/>
    <w:rsid w:val="003C0496"/>
    <w:rsid w:val="003C0D86"/>
    <w:rsid w:val="003C1032"/>
    <w:rsid w:val="003C27C9"/>
    <w:rsid w:val="003C423B"/>
    <w:rsid w:val="003C50F1"/>
    <w:rsid w:val="003C7A8E"/>
    <w:rsid w:val="003D2710"/>
    <w:rsid w:val="003D2D1E"/>
    <w:rsid w:val="003D301D"/>
    <w:rsid w:val="003D4347"/>
    <w:rsid w:val="003D4CFB"/>
    <w:rsid w:val="003D6BE2"/>
    <w:rsid w:val="003E4B07"/>
    <w:rsid w:val="003E7A0E"/>
    <w:rsid w:val="003F0998"/>
    <w:rsid w:val="003F2402"/>
    <w:rsid w:val="003F568C"/>
    <w:rsid w:val="00407C87"/>
    <w:rsid w:val="00411602"/>
    <w:rsid w:val="0041492A"/>
    <w:rsid w:val="00416899"/>
    <w:rsid w:val="00421A4C"/>
    <w:rsid w:val="00423C37"/>
    <w:rsid w:val="00424F10"/>
    <w:rsid w:val="004278A7"/>
    <w:rsid w:val="00427DDB"/>
    <w:rsid w:val="004319F9"/>
    <w:rsid w:val="00433C06"/>
    <w:rsid w:val="0044051A"/>
    <w:rsid w:val="0044134E"/>
    <w:rsid w:val="00441B3A"/>
    <w:rsid w:val="00447FAD"/>
    <w:rsid w:val="004539A2"/>
    <w:rsid w:val="0047241B"/>
    <w:rsid w:val="00473A89"/>
    <w:rsid w:val="00474E1F"/>
    <w:rsid w:val="00494276"/>
    <w:rsid w:val="00494A88"/>
    <w:rsid w:val="004A1F8B"/>
    <w:rsid w:val="004A2385"/>
    <w:rsid w:val="004A4C49"/>
    <w:rsid w:val="004B30CA"/>
    <w:rsid w:val="004C22F2"/>
    <w:rsid w:val="004D0368"/>
    <w:rsid w:val="004E1499"/>
    <w:rsid w:val="004E6106"/>
    <w:rsid w:val="004E709A"/>
    <w:rsid w:val="004F0668"/>
    <w:rsid w:val="004F3C68"/>
    <w:rsid w:val="004F5880"/>
    <w:rsid w:val="004F6AD1"/>
    <w:rsid w:val="005002B5"/>
    <w:rsid w:val="00501B1F"/>
    <w:rsid w:val="00502048"/>
    <w:rsid w:val="00504377"/>
    <w:rsid w:val="00506272"/>
    <w:rsid w:val="00506E6F"/>
    <w:rsid w:val="005133D4"/>
    <w:rsid w:val="005134D4"/>
    <w:rsid w:val="005146DA"/>
    <w:rsid w:val="00516342"/>
    <w:rsid w:val="005205D3"/>
    <w:rsid w:val="00520664"/>
    <w:rsid w:val="0052688D"/>
    <w:rsid w:val="00530969"/>
    <w:rsid w:val="005312E8"/>
    <w:rsid w:val="00534A7C"/>
    <w:rsid w:val="0053688C"/>
    <w:rsid w:val="00541300"/>
    <w:rsid w:val="0054529A"/>
    <w:rsid w:val="005452F3"/>
    <w:rsid w:val="00545E73"/>
    <w:rsid w:val="00546989"/>
    <w:rsid w:val="00547A88"/>
    <w:rsid w:val="00552DCE"/>
    <w:rsid w:val="00554EAE"/>
    <w:rsid w:val="00555626"/>
    <w:rsid w:val="005566FE"/>
    <w:rsid w:val="00560868"/>
    <w:rsid w:val="00562EA7"/>
    <w:rsid w:val="00564EEB"/>
    <w:rsid w:val="00564FBA"/>
    <w:rsid w:val="00565DE5"/>
    <w:rsid w:val="00571F99"/>
    <w:rsid w:val="0057494F"/>
    <w:rsid w:val="00574C21"/>
    <w:rsid w:val="00583B99"/>
    <w:rsid w:val="005A29D8"/>
    <w:rsid w:val="005C1265"/>
    <w:rsid w:val="005C1C9D"/>
    <w:rsid w:val="005C2A98"/>
    <w:rsid w:val="005C40ED"/>
    <w:rsid w:val="005C46DC"/>
    <w:rsid w:val="005D62B0"/>
    <w:rsid w:val="005E0311"/>
    <w:rsid w:val="005E1CAF"/>
    <w:rsid w:val="005E631D"/>
    <w:rsid w:val="005E6C6B"/>
    <w:rsid w:val="00601B0B"/>
    <w:rsid w:val="0061163B"/>
    <w:rsid w:val="00611D2D"/>
    <w:rsid w:val="00622FD7"/>
    <w:rsid w:val="006248F8"/>
    <w:rsid w:val="00625365"/>
    <w:rsid w:val="0063211C"/>
    <w:rsid w:val="00632273"/>
    <w:rsid w:val="0063291E"/>
    <w:rsid w:val="00635F4F"/>
    <w:rsid w:val="00636BF9"/>
    <w:rsid w:val="00642EFA"/>
    <w:rsid w:val="006461CC"/>
    <w:rsid w:val="006463CC"/>
    <w:rsid w:val="006513AD"/>
    <w:rsid w:val="00653A77"/>
    <w:rsid w:val="006731F4"/>
    <w:rsid w:val="00674AFD"/>
    <w:rsid w:val="00674D62"/>
    <w:rsid w:val="0068222C"/>
    <w:rsid w:val="00682854"/>
    <w:rsid w:val="00691FA0"/>
    <w:rsid w:val="00697871"/>
    <w:rsid w:val="006A1AAB"/>
    <w:rsid w:val="006B15D1"/>
    <w:rsid w:val="006B30D9"/>
    <w:rsid w:val="006D0975"/>
    <w:rsid w:val="006D4C34"/>
    <w:rsid w:val="006F322A"/>
    <w:rsid w:val="006F4E19"/>
    <w:rsid w:val="006F6B0A"/>
    <w:rsid w:val="00700833"/>
    <w:rsid w:val="007053F3"/>
    <w:rsid w:val="00705FCF"/>
    <w:rsid w:val="0072476D"/>
    <w:rsid w:val="00740520"/>
    <w:rsid w:val="007405EB"/>
    <w:rsid w:val="0075036F"/>
    <w:rsid w:val="00750BB0"/>
    <w:rsid w:val="00751F34"/>
    <w:rsid w:val="00762D08"/>
    <w:rsid w:val="00764E7F"/>
    <w:rsid w:val="007656F7"/>
    <w:rsid w:val="0076673D"/>
    <w:rsid w:val="00770D9A"/>
    <w:rsid w:val="00776FA8"/>
    <w:rsid w:val="0077708E"/>
    <w:rsid w:val="007846C5"/>
    <w:rsid w:val="00787356"/>
    <w:rsid w:val="00793A49"/>
    <w:rsid w:val="007968A7"/>
    <w:rsid w:val="0079786B"/>
    <w:rsid w:val="007A7CCB"/>
    <w:rsid w:val="007B090D"/>
    <w:rsid w:val="007B12EE"/>
    <w:rsid w:val="007C1E82"/>
    <w:rsid w:val="007C4A95"/>
    <w:rsid w:val="007C7065"/>
    <w:rsid w:val="007D1FFE"/>
    <w:rsid w:val="007D359B"/>
    <w:rsid w:val="007D3DB7"/>
    <w:rsid w:val="007D4C53"/>
    <w:rsid w:val="007E039C"/>
    <w:rsid w:val="007E134F"/>
    <w:rsid w:val="007F10F6"/>
    <w:rsid w:val="007F538E"/>
    <w:rsid w:val="007F7BA5"/>
    <w:rsid w:val="008006D8"/>
    <w:rsid w:val="00801544"/>
    <w:rsid w:val="00801EE2"/>
    <w:rsid w:val="00802208"/>
    <w:rsid w:val="00802A81"/>
    <w:rsid w:val="00811008"/>
    <w:rsid w:val="0081216C"/>
    <w:rsid w:val="00814509"/>
    <w:rsid w:val="00817942"/>
    <w:rsid w:val="00822247"/>
    <w:rsid w:val="008334D1"/>
    <w:rsid w:val="0083632B"/>
    <w:rsid w:val="00853F6D"/>
    <w:rsid w:val="008540F7"/>
    <w:rsid w:val="00865866"/>
    <w:rsid w:val="0087595B"/>
    <w:rsid w:val="00877442"/>
    <w:rsid w:val="008831C0"/>
    <w:rsid w:val="008901D5"/>
    <w:rsid w:val="0089052D"/>
    <w:rsid w:val="00891102"/>
    <w:rsid w:val="008966CD"/>
    <w:rsid w:val="00896FD5"/>
    <w:rsid w:val="008A6753"/>
    <w:rsid w:val="008B2BAE"/>
    <w:rsid w:val="008B4003"/>
    <w:rsid w:val="008B69D2"/>
    <w:rsid w:val="008C0570"/>
    <w:rsid w:val="008C496A"/>
    <w:rsid w:val="008C5496"/>
    <w:rsid w:val="008C7F0B"/>
    <w:rsid w:val="008E7C8B"/>
    <w:rsid w:val="0091078D"/>
    <w:rsid w:val="009120DE"/>
    <w:rsid w:val="009204E2"/>
    <w:rsid w:val="00923A1C"/>
    <w:rsid w:val="009245CA"/>
    <w:rsid w:val="0092553F"/>
    <w:rsid w:val="00937E11"/>
    <w:rsid w:val="00943B15"/>
    <w:rsid w:val="00955598"/>
    <w:rsid w:val="009561EA"/>
    <w:rsid w:val="00956C20"/>
    <w:rsid w:val="00957FBB"/>
    <w:rsid w:val="00962EC5"/>
    <w:rsid w:val="009638D6"/>
    <w:rsid w:val="00970E29"/>
    <w:rsid w:val="00971969"/>
    <w:rsid w:val="009727E7"/>
    <w:rsid w:val="0097314A"/>
    <w:rsid w:val="00975C54"/>
    <w:rsid w:val="009835BD"/>
    <w:rsid w:val="0098652C"/>
    <w:rsid w:val="00987367"/>
    <w:rsid w:val="009878CD"/>
    <w:rsid w:val="009921D4"/>
    <w:rsid w:val="00992783"/>
    <w:rsid w:val="009A023F"/>
    <w:rsid w:val="009A164F"/>
    <w:rsid w:val="009A2471"/>
    <w:rsid w:val="009A34DE"/>
    <w:rsid w:val="009A4560"/>
    <w:rsid w:val="009D1292"/>
    <w:rsid w:val="009D220D"/>
    <w:rsid w:val="009D2994"/>
    <w:rsid w:val="009E129B"/>
    <w:rsid w:val="009E2DEB"/>
    <w:rsid w:val="009E7746"/>
    <w:rsid w:val="009F2233"/>
    <w:rsid w:val="009F440C"/>
    <w:rsid w:val="009F6CB9"/>
    <w:rsid w:val="009F7B41"/>
    <w:rsid w:val="00A0130E"/>
    <w:rsid w:val="00A031EF"/>
    <w:rsid w:val="00A06CD1"/>
    <w:rsid w:val="00A16DBA"/>
    <w:rsid w:val="00A20E45"/>
    <w:rsid w:val="00A23B6D"/>
    <w:rsid w:val="00A24DFE"/>
    <w:rsid w:val="00A30C5B"/>
    <w:rsid w:val="00A32B55"/>
    <w:rsid w:val="00A3480C"/>
    <w:rsid w:val="00A414C5"/>
    <w:rsid w:val="00A41A57"/>
    <w:rsid w:val="00A44441"/>
    <w:rsid w:val="00A453DB"/>
    <w:rsid w:val="00A46380"/>
    <w:rsid w:val="00A50FF4"/>
    <w:rsid w:val="00A51F84"/>
    <w:rsid w:val="00A57102"/>
    <w:rsid w:val="00A63EC0"/>
    <w:rsid w:val="00A63FE7"/>
    <w:rsid w:val="00A653E2"/>
    <w:rsid w:val="00A67B82"/>
    <w:rsid w:val="00A7304E"/>
    <w:rsid w:val="00A746A1"/>
    <w:rsid w:val="00A74ACA"/>
    <w:rsid w:val="00A76E45"/>
    <w:rsid w:val="00A84B5A"/>
    <w:rsid w:val="00A85E36"/>
    <w:rsid w:val="00A8780C"/>
    <w:rsid w:val="00A92781"/>
    <w:rsid w:val="00A95F03"/>
    <w:rsid w:val="00A971FC"/>
    <w:rsid w:val="00AA2086"/>
    <w:rsid w:val="00AA235E"/>
    <w:rsid w:val="00AA5656"/>
    <w:rsid w:val="00AA6D74"/>
    <w:rsid w:val="00AB0ADC"/>
    <w:rsid w:val="00AB161B"/>
    <w:rsid w:val="00AB3D61"/>
    <w:rsid w:val="00AB527B"/>
    <w:rsid w:val="00AB7D84"/>
    <w:rsid w:val="00AC006D"/>
    <w:rsid w:val="00AC54A8"/>
    <w:rsid w:val="00AC7CE4"/>
    <w:rsid w:val="00AD072F"/>
    <w:rsid w:val="00AD17CC"/>
    <w:rsid w:val="00AD745A"/>
    <w:rsid w:val="00AF1E3B"/>
    <w:rsid w:val="00AF59AE"/>
    <w:rsid w:val="00AF7423"/>
    <w:rsid w:val="00AF7880"/>
    <w:rsid w:val="00AF7C77"/>
    <w:rsid w:val="00B006D2"/>
    <w:rsid w:val="00B02883"/>
    <w:rsid w:val="00B02A55"/>
    <w:rsid w:val="00B101E4"/>
    <w:rsid w:val="00B15286"/>
    <w:rsid w:val="00B16546"/>
    <w:rsid w:val="00B3506C"/>
    <w:rsid w:val="00B367FD"/>
    <w:rsid w:val="00B42B3D"/>
    <w:rsid w:val="00B47BF1"/>
    <w:rsid w:val="00B53BAA"/>
    <w:rsid w:val="00B6380A"/>
    <w:rsid w:val="00B654B9"/>
    <w:rsid w:val="00B6653B"/>
    <w:rsid w:val="00B731CA"/>
    <w:rsid w:val="00B75153"/>
    <w:rsid w:val="00B75193"/>
    <w:rsid w:val="00B75814"/>
    <w:rsid w:val="00B76535"/>
    <w:rsid w:val="00B76DC6"/>
    <w:rsid w:val="00B77196"/>
    <w:rsid w:val="00B77903"/>
    <w:rsid w:val="00B8003A"/>
    <w:rsid w:val="00B82A81"/>
    <w:rsid w:val="00B87038"/>
    <w:rsid w:val="00B92191"/>
    <w:rsid w:val="00B9486E"/>
    <w:rsid w:val="00B94B62"/>
    <w:rsid w:val="00BA3162"/>
    <w:rsid w:val="00BA5CB9"/>
    <w:rsid w:val="00BA6318"/>
    <w:rsid w:val="00BA6735"/>
    <w:rsid w:val="00BC4673"/>
    <w:rsid w:val="00BC7CAB"/>
    <w:rsid w:val="00BD221A"/>
    <w:rsid w:val="00BD5036"/>
    <w:rsid w:val="00BE1704"/>
    <w:rsid w:val="00BE2AC9"/>
    <w:rsid w:val="00BE5F44"/>
    <w:rsid w:val="00C00C78"/>
    <w:rsid w:val="00C071B5"/>
    <w:rsid w:val="00C17B90"/>
    <w:rsid w:val="00C23B00"/>
    <w:rsid w:val="00C352C3"/>
    <w:rsid w:val="00C35548"/>
    <w:rsid w:val="00C35581"/>
    <w:rsid w:val="00C36AB1"/>
    <w:rsid w:val="00C36C01"/>
    <w:rsid w:val="00C476D1"/>
    <w:rsid w:val="00C52C74"/>
    <w:rsid w:val="00C57B16"/>
    <w:rsid w:val="00C64FA5"/>
    <w:rsid w:val="00C70ED0"/>
    <w:rsid w:val="00C73E12"/>
    <w:rsid w:val="00C7751E"/>
    <w:rsid w:val="00C85E51"/>
    <w:rsid w:val="00C868BC"/>
    <w:rsid w:val="00C90858"/>
    <w:rsid w:val="00C92BC1"/>
    <w:rsid w:val="00CA397A"/>
    <w:rsid w:val="00CA4CAA"/>
    <w:rsid w:val="00CB1E4D"/>
    <w:rsid w:val="00CB7682"/>
    <w:rsid w:val="00CC1412"/>
    <w:rsid w:val="00CE756A"/>
    <w:rsid w:val="00CF1C79"/>
    <w:rsid w:val="00CF2160"/>
    <w:rsid w:val="00CF3074"/>
    <w:rsid w:val="00CF3575"/>
    <w:rsid w:val="00CF38E1"/>
    <w:rsid w:val="00D04A6B"/>
    <w:rsid w:val="00D04A98"/>
    <w:rsid w:val="00D04F61"/>
    <w:rsid w:val="00D12DA4"/>
    <w:rsid w:val="00D1502F"/>
    <w:rsid w:val="00D1785F"/>
    <w:rsid w:val="00D22A6C"/>
    <w:rsid w:val="00D2354A"/>
    <w:rsid w:val="00D25B53"/>
    <w:rsid w:val="00D314CC"/>
    <w:rsid w:val="00D37A2E"/>
    <w:rsid w:val="00D407A5"/>
    <w:rsid w:val="00D434A2"/>
    <w:rsid w:val="00D60D01"/>
    <w:rsid w:val="00D627CB"/>
    <w:rsid w:val="00D6650A"/>
    <w:rsid w:val="00D66DD6"/>
    <w:rsid w:val="00D67DBD"/>
    <w:rsid w:val="00D67E09"/>
    <w:rsid w:val="00D776AF"/>
    <w:rsid w:val="00D833A2"/>
    <w:rsid w:val="00D91C47"/>
    <w:rsid w:val="00D92F9B"/>
    <w:rsid w:val="00D9373A"/>
    <w:rsid w:val="00DA0253"/>
    <w:rsid w:val="00DA4BC1"/>
    <w:rsid w:val="00DA6BCE"/>
    <w:rsid w:val="00DA743E"/>
    <w:rsid w:val="00DB201A"/>
    <w:rsid w:val="00DB35AA"/>
    <w:rsid w:val="00DB37B1"/>
    <w:rsid w:val="00DB6791"/>
    <w:rsid w:val="00DB6F1A"/>
    <w:rsid w:val="00DC5651"/>
    <w:rsid w:val="00DC7CEC"/>
    <w:rsid w:val="00DD0C52"/>
    <w:rsid w:val="00DE132C"/>
    <w:rsid w:val="00DE2F3D"/>
    <w:rsid w:val="00DF3D33"/>
    <w:rsid w:val="00DF7354"/>
    <w:rsid w:val="00E00C94"/>
    <w:rsid w:val="00E01DA6"/>
    <w:rsid w:val="00E02175"/>
    <w:rsid w:val="00E050E1"/>
    <w:rsid w:val="00E0717D"/>
    <w:rsid w:val="00E214EE"/>
    <w:rsid w:val="00E21858"/>
    <w:rsid w:val="00E36BD0"/>
    <w:rsid w:val="00E36C66"/>
    <w:rsid w:val="00E41470"/>
    <w:rsid w:val="00E4343C"/>
    <w:rsid w:val="00E46BAB"/>
    <w:rsid w:val="00E46C01"/>
    <w:rsid w:val="00E47961"/>
    <w:rsid w:val="00E56B75"/>
    <w:rsid w:val="00E6724A"/>
    <w:rsid w:val="00E757EC"/>
    <w:rsid w:val="00E77E4A"/>
    <w:rsid w:val="00E833C9"/>
    <w:rsid w:val="00E84BED"/>
    <w:rsid w:val="00E90404"/>
    <w:rsid w:val="00EA3578"/>
    <w:rsid w:val="00EA44C7"/>
    <w:rsid w:val="00EA5956"/>
    <w:rsid w:val="00EB2B5F"/>
    <w:rsid w:val="00EB43CC"/>
    <w:rsid w:val="00EC0CE3"/>
    <w:rsid w:val="00EC54D1"/>
    <w:rsid w:val="00EC7A66"/>
    <w:rsid w:val="00EE0856"/>
    <w:rsid w:val="00EE10DC"/>
    <w:rsid w:val="00EE5963"/>
    <w:rsid w:val="00EE6355"/>
    <w:rsid w:val="00EF036E"/>
    <w:rsid w:val="00EF27D2"/>
    <w:rsid w:val="00EF42E1"/>
    <w:rsid w:val="00EF4893"/>
    <w:rsid w:val="00EF686C"/>
    <w:rsid w:val="00F02999"/>
    <w:rsid w:val="00F04283"/>
    <w:rsid w:val="00F053D4"/>
    <w:rsid w:val="00F11688"/>
    <w:rsid w:val="00F139DF"/>
    <w:rsid w:val="00F14DA7"/>
    <w:rsid w:val="00F269F2"/>
    <w:rsid w:val="00F271B3"/>
    <w:rsid w:val="00F313FA"/>
    <w:rsid w:val="00F3271F"/>
    <w:rsid w:val="00F347D4"/>
    <w:rsid w:val="00F44CB8"/>
    <w:rsid w:val="00F47171"/>
    <w:rsid w:val="00F51767"/>
    <w:rsid w:val="00F5265E"/>
    <w:rsid w:val="00F53DA7"/>
    <w:rsid w:val="00F541EC"/>
    <w:rsid w:val="00F715D1"/>
    <w:rsid w:val="00F720A0"/>
    <w:rsid w:val="00F74EEC"/>
    <w:rsid w:val="00F814E9"/>
    <w:rsid w:val="00F86D0D"/>
    <w:rsid w:val="00F9034C"/>
    <w:rsid w:val="00F96408"/>
    <w:rsid w:val="00FA0E71"/>
    <w:rsid w:val="00FA13F6"/>
    <w:rsid w:val="00FA5C85"/>
    <w:rsid w:val="00FA6960"/>
    <w:rsid w:val="00FB0428"/>
    <w:rsid w:val="00FB0E2C"/>
    <w:rsid w:val="00FB0EFF"/>
    <w:rsid w:val="00FB133E"/>
    <w:rsid w:val="00FC11D9"/>
    <w:rsid w:val="00FC155F"/>
    <w:rsid w:val="00FC5394"/>
    <w:rsid w:val="00FC5720"/>
    <w:rsid w:val="00FD0C87"/>
    <w:rsid w:val="00FD3387"/>
    <w:rsid w:val="00FD3DA9"/>
    <w:rsid w:val="00FD612C"/>
    <w:rsid w:val="00FE001E"/>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595F40"/>
  <w15:chartTrackingRefBased/>
  <w15:docId w15:val="{7D61DA47-0F62-487E-96E2-F7E0ACE8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171"/>
    <w:pPr>
      <w:spacing w:after="120" w:line="240" w:lineRule="exact"/>
    </w:pPr>
    <w:rPr>
      <w:sz w:val="20"/>
      <w:szCs w:val="20"/>
    </w:rPr>
  </w:style>
  <w:style w:type="paragraph" w:styleId="Heading1">
    <w:name w:val="heading 1"/>
    <w:aliases w:val="Main Heading,Part Title"/>
    <w:basedOn w:val="Normal"/>
    <w:next w:val="Normal"/>
    <w:link w:val="Heading1Char"/>
    <w:uiPriority w:val="5"/>
    <w:qFormat/>
    <w:rsid w:val="00F47171"/>
    <w:pPr>
      <w:keepNext/>
      <w:keepLines/>
      <w:spacing w:after="360" w:line="400" w:lineRule="exact"/>
      <w:outlineLvl w:val="0"/>
    </w:pPr>
    <w:rPr>
      <w:rFonts w:asciiTheme="majorHAnsi" w:eastAsiaTheme="majorEastAsia" w:hAnsiTheme="majorHAnsi" w:cstheme="majorBidi"/>
      <w:b/>
      <w:caps/>
      <w:color w:val="AFBD22" w:themeColor="text2"/>
      <w:sz w:val="36"/>
      <w:szCs w:val="36"/>
    </w:rPr>
  </w:style>
  <w:style w:type="paragraph" w:styleId="Heading2">
    <w:name w:val="heading 2"/>
    <w:basedOn w:val="Normal"/>
    <w:next w:val="Normal"/>
    <w:link w:val="Heading2Char"/>
    <w:uiPriority w:val="5"/>
    <w:unhideWhenUsed/>
    <w:qFormat/>
    <w:rsid w:val="00F47171"/>
    <w:pPr>
      <w:keepNext/>
      <w:keepLines/>
      <w:spacing w:before="240" w:line="320" w:lineRule="exact"/>
      <w:outlineLvl w:val="1"/>
    </w:pPr>
    <w:rPr>
      <w:rFonts w:asciiTheme="majorHAnsi" w:eastAsiaTheme="majorEastAsia" w:hAnsiTheme="majorHAnsi" w:cstheme="majorBidi"/>
      <w:b/>
      <w:color w:val="1B5782" w:themeColor="accent1" w:themeShade="BF"/>
      <w:sz w:val="28"/>
      <w:szCs w:val="26"/>
    </w:rPr>
  </w:style>
  <w:style w:type="paragraph" w:styleId="Heading3">
    <w:name w:val="heading 3"/>
    <w:basedOn w:val="Normal"/>
    <w:next w:val="Normal"/>
    <w:link w:val="Heading3Char"/>
    <w:uiPriority w:val="5"/>
    <w:unhideWhenUsed/>
    <w:qFormat/>
    <w:rsid w:val="00F47171"/>
    <w:pPr>
      <w:keepNext/>
      <w:keepLines/>
      <w:spacing w:before="240"/>
      <w:outlineLvl w:val="2"/>
    </w:pPr>
    <w:rPr>
      <w:rFonts w:asciiTheme="majorHAnsi" w:eastAsiaTheme="majorEastAsia" w:hAnsiTheme="majorHAnsi" w:cstheme="majorBidi"/>
      <w:b/>
      <w:color w:val="000000" w:themeColor="text1"/>
    </w:rPr>
  </w:style>
  <w:style w:type="paragraph" w:styleId="Heading4">
    <w:name w:val="heading 4"/>
    <w:aliases w:val="Map Title"/>
    <w:basedOn w:val="Normal"/>
    <w:next w:val="Normal"/>
    <w:link w:val="Heading4Char"/>
    <w:uiPriority w:val="9"/>
    <w:qFormat/>
    <w:rsid w:val="0057494F"/>
    <w:pPr>
      <w:keepNext/>
      <w:keepLines/>
      <w:spacing w:before="40"/>
      <w:outlineLvl w:val="3"/>
    </w:pPr>
    <w:rPr>
      <w:rFonts w:asciiTheme="majorHAnsi" w:eastAsiaTheme="majorEastAsia" w:hAnsiTheme="majorHAnsi" w:cstheme="majorBidi"/>
      <w:i/>
      <w:iCs/>
      <w:color w:val="1B5782" w:themeColor="accent1" w:themeShade="BF"/>
    </w:rPr>
  </w:style>
  <w:style w:type="paragraph" w:styleId="Heading5">
    <w:name w:val="heading 5"/>
    <w:aliases w:val="Block Label"/>
    <w:basedOn w:val="Normal"/>
    <w:next w:val="Normal"/>
    <w:link w:val="Heading5Char"/>
    <w:uiPriority w:val="9"/>
    <w:unhideWhenUsed/>
    <w:qFormat/>
    <w:rsid w:val="0057494F"/>
    <w:pPr>
      <w:keepNext/>
      <w:keepLines/>
      <w:spacing w:before="40"/>
      <w:outlineLvl w:val="4"/>
    </w:pPr>
    <w:rPr>
      <w:rFonts w:asciiTheme="majorHAnsi" w:eastAsiaTheme="majorEastAsia" w:hAnsiTheme="majorHAnsi" w:cstheme="majorBidi"/>
      <w:color w:val="1B5782" w:themeColor="accent1" w:themeShade="BF"/>
    </w:rPr>
  </w:style>
  <w:style w:type="paragraph" w:styleId="Heading6">
    <w:name w:val="heading 6"/>
    <w:aliases w:val="Sub Label"/>
    <w:basedOn w:val="Normal"/>
    <w:link w:val="Heading6Char"/>
    <w:uiPriority w:val="9"/>
    <w:unhideWhenUsed/>
    <w:qFormat/>
    <w:rsid w:val="0057494F"/>
    <w:pPr>
      <w:keepNext/>
      <w:keepLines/>
      <w:spacing w:before="240" w:after="60"/>
      <w:outlineLvl w:val="5"/>
    </w:pPr>
    <w:rPr>
      <w:rFonts w:ascii="Calibri" w:eastAsia="Calibri" w:hAnsi="Calibri" w:cs="Times New Roman"/>
      <w:b/>
      <w:i/>
      <w:color w:val="000000"/>
      <w:lang w:val="en-US"/>
    </w:rPr>
  </w:style>
  <w:style w:type="character" w:default="1" w:styleId="DefaultParagraphFont">
    <w:name w:val="Default Paragraph Font"/>
    <w:uiPriority w:val="1"/>
    <w:semiHidden/>
    <w:unhideWhenUsed/>
    <w:rsid w:val="00F471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7171"/>
  </w:style>
  <w:style w:type="table" w:customStyle="1" w:styleId="ListTable3-Accent11">
    <w:name w:val="List Table 3 - Accent 11"/>
    <w:basedOn w:val="TableNormal"/>
    <w:next w:val="ListTable3-Accent1"/>
    <w:uiPriority w:val="48"/>
    <w:rsid w:val="00F47171"/>
    <w:rPr>
      <w:rFonts w:ascii="Arial" w:hAnsi="Arial"/>
      <w:sz w:val="18"/>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F47171"/>
    <w:rPr>
      <w:sz w:val="20"/>
      <w:szCs w:val="20"/>
    </w:r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F47171"/>
    <w:pPr>
      <w:numPr>
        <w:numId w:val="6"/>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F47171"/>
    <w:pPr>
      <w:numPr>
        <w:numId w:val="3"/>
      </w:numPr>
      <w:contextualSpacing/>
    </w:pPr>
  </w:style>
  <w:style w:type="paragraph" w:styleId="Header">
    <w:name w:val="header"/>
    <w:basedOn w:val="Normal"/>
    <w:link w:val="HeaderChar"/>
    <w:uiPriority w:val="99"/>
    <w:unhideWhenUsed/>
    <w:rsid w:val="00F47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1"/>
    <w:rPr>
      <w:sz w:val="20"/>
      <w:szCs w:val="20"/>
    </w:rPr>
  </w:style>
  <w:style w:type="paragraph" w:styleId="Footer">
    <w:name w:val="footer"/>
    <w:basedOn w:val="Normal"/>
    <w:link w:val="FooterChar"/>
    <w:uiPriority w:val="98"/>
    <w:unhideWhenUsed/>
    <w:rsid w:val="00F47171"/>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F47171"/>
    <w:rPr>
      <w:rFonts w:ascii="Arial" w:hAnsi="Arial"/>
      <w:caps/>
      <w:color w:val="2575AE" w:themeColor="accent1"/>
      <w:sz w:val="16"/>
      <w:szCs w:val="20"/>
    </w:rPr>
  </w:style>
  <w:style w:type="paragraph" w:styleId="Title">
    <w:name w:val="Title"/>
    <w:basedOn w:val="Normal"/>
    <w:next w:val="Normal"/>
    <w:link w:val="TitleChar"/>
    <w:uiPriority w:val="4"/>
    <w:qFormat/>
    <w:rsid w:val="00F47171"/>
    <w:pPr>
      <w:spacing w:before="120" w:line="520" w:lineRule="exact"/>
      <w:ind w:left="1673" w:right="567"/>
      <w:contextualSpacing/>
    </w:pPr>
    <w:rPr>
      <w:rFonts w:asciiTheme="majorHAnsi" w:eastAsiaTheme="majorEastAsia" w:hAnsiTheme="majorHAnsi" w:cstheme="majorBidi"/>
      <w:b/>
      <w:caps/>
      <w:color w:val="19456B" w:themeColor="background2"/>
      <w:kern w:val="28"/>
      <w:sz w:val="44"/>
      <w:szCs w:val="44"/>
    </w:rPr>
  </w:style>
  <w:style w:type="character" w:customStyle="1" w:styleId="TitleChar">
    <w:name w:val="Title Char"/>
    <w:basedOn w:val="DefaultParagraphFont"/>
    <w:link w:val="Title"/>
    <w:uiPriority w:val="4"/>
    <w:rsid w:val="00F47171"/>
    <w:rPr>
      <w:rFonts w:asciiTheme="majorHAnsi" w:eastAsiaTheme="majorEastAsia" w:hAnsiTheme="majorHAnsi" w:cstheme="majorBidi"/>
      <w:b/>
      <w:caps/>
      <w:color w:val="19456B" w:themeColor="background2"/>
      <w:kern w:val="28"/>
      <w:sz w:val="44"/>
      <w:szCs w:val="44"/>
    </w:rPr>
  </w:style>
  <w:style w:type="paragraph" w:styleId="Subtitle">
    <w:name w:val="Subtitle"/>
    <w:basedOn w:val="Normal"/>
    <w:next w:val="Normal"/>
    <w:link w:val="SubtitleChar"/>
    <w:uiPriority w:val="4"/>
    <w:qFormat/>
    <w:rsid w:val="00F47171"/>
    <w:pPr>
      <w:numPr>
        <w:ilvl w:val="1"/>
      </w:numPr>
      <w:spacing w:after="240" w:line="380" w:lineRule="exact"/>
      <w:ind w:left="1673"/>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F47171"/>
    <w:rPr>
      <w:rFonts w:eastAsiaTheme="minorEastAsia"/>
      <w:color w:val="2575AE" w:themeColor="accent1"/>
      <w:sz w:val="32"/>
      <w:szCs w:val="32"/>
    </w:rPr>
  </w:style>
  <w:style w:type="paragraph" w:customStyle="1" w:styleId="Details">
    <w:name w:val="Details"/>
    <w:basedOn w:val="Normal"/>
    <w:uiPriority w:val="97"/>
    <w:qFormat/>
    <w:rsid w:val="00F47171"/>
    <w:pPr>
      <w:ind w:left="1672"/>
    </w:pPr>
    <w:rPr>
      <w:caps/>
      <w:color w:val="19456B" w:themeColor="background2"/>
    </w:rPr>
  </w:style>
  <w:style w:type="character" w:styleId="Hyperlink">
    <w:name w:val="Hyperlink"/>
    <w:basedOn w:val="DefaultParagraphFont"/>
    <w:uiPriority w:val="99"/>
    <w:unhideWhenUsed/>
    <w:rsid w:val="00F47171"/>
    <w:rPr>
      <w:color w:val="0563C1" w:themeColor="hyperlink"/>
      <w:u w:val="single"/>
    </w:rPr>
  </w:style>
  <w:style w:type="character" w:customStyle="1" w:styleId="Heading1Char">
    <w:name w:val="Heading 1 Char"/>
    <w:aliases w:val="Main Heading Char,Part Title Char"/>
    <w:basedOn w:val="DefaultParagraphFont"/>
    <w:link w:val="Heading1"/>
    <w:uiPriority w:val="5"/>
    <w:rsid w:val="00F47171"/>
    <w:rPr>
      <w:rFonts w:asciiTheme="majorHAnsi" w:eastAsiaTheme="majorEastAsia" w:hAnsiTheme="majorHAnsi" w:cstheme="majorBidi"/>
      <w:b/>
      <w:caps/>
      <w:color w:val="AFBD22" w:themeColor="text2"/>
      <w:sz w:val="36"/>
      <w:szCs w:val="36"/>
    </w:rPr>
  </w:style>
  <w:style w:type="paragraph" w:styleId="TOC9">
    <w:name w:val="toc 9"/>
    <w:basedOn w:val="Normal"/>
    <w:next w:val="Normal"/>
    <w:autoRedefine/>
    <w:uiPriority w:val="39"/>
    <w:semiHidden/>
    <w:unhideWhenUsed/>
    <w:rsid w:val="00F47171"/>
    <w:pPr>
      <w:spacing w:after="100"/>
      <w:ind w:left="1600"/>
    </w:pPr>
  </w:style>
  <w:style w:type="character" w:customStyle="1" w:styleId="Heading2Char">
    <w:name w:val="Heading 2 Char"/>
    <w:basedOn w:val="DefaultParagraphFont"/>
    <w:link w:val="Heading2"/>
    <w:uiPriority w:val="5"/>
    <w:rsid w:val="00F47171"/>
    <w:rPr>
      <w:rFonts w:asciiTheme="majorHAnsi" w:eastAsiaTheme="majorEastAsia" w:hAnsiTheme="majorHAnsi" w:cstheme="majorBidi"/>
      <w:b/>
      <w:color w:val="1B5782" w:themeColor="accent1" w:themeShade="BF"/>
      <w:sz w:val="28"/>
      <w:szCs w:val="26"/>
    </w:rPr>
  </w:style>
  <w:style w:type="character" w:customStyle="1" w:styleId="Heading3Char">
    <w:name w:val="Heading 3 Char"/>
    <w:basedOn w:val="DefaultParagraphFont"/>
    <w:link w:val="Heading3"/>
    <w:uiPriority w:val="5"/>
    <w:rsid w:val="00F47171"/>
    <w:rPr>
      <w:rFonts w:asciiTheme="majorHAnsi" w:eastAsiaTheme="majorEastAsia" w:hAnsiTheme="majorHAnsi" w:cstheme="majorBidi"/>
      <w:b/>
      <w:color w:val="000000" w:themeColor="text1"/>
      <w:sz w:val="20"/>
      <w:szCs w:val="20"/>
    </w:rPr>
  </w:style>
  <w:style w:type="paragraph" w:styleId="TOC1">
    <w:name w:val="toc 1"/>
    <w:basedOn w:val="Normal"/>
    <w:next w:val="Normal"/>
    <w:autoRedefine/>
    <w:uiPriority w:val="39"/>
    <w:unhideWhenUsed/>
    <w:rsid w:val="00F47171"/>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F47171"/>
    <w:pPr>
      <w:outlineLvl w:val="9"/>
    </w:pPr>
    <w:rPr>
      <w:caps w:val="0"/>
      <w:color w:val="19456B" w:themeColor="background2"/>
      <w:sz w:val="20"/>
      <w:lang w:val="en-US"/>
    </w:rPr>
  </w:style>
  <w:style w:type="paragraph" w:styleId="ListParagraph">
    <w:name w:val="List Paragraph"/>
    <w:basedOn w:val="Normal"/>
    <w:uiPriority w:val="34"/>
    <w:qFormat/>
    <w:rsid w:val="00F47171"/>
    <w:pPr>
      <w:ind w:left="720"/>
      <w:contextualSpacing/>
    </w:pPr>
  </w:style>
  <w:style w:type="paragraph" w:styleId="List">
    <w:name w:val="List"/>
    <w:basedOn w:val="Normal"/>
    <w:uiPriority w:val="99"/>
    <w:semiHidden/>
    <w:rsid w:val="00F47171"/>
    <w:pPr>
      <w:numPr>
        <w:numId w:val="2"/>
      </w:numPr>
    </w:pPr>
  </w:style>
  <w:style w:type="paragraph" w:styleId="List2">
    <w:name w:val="List 2"/>
    <w:basedOn w:val="Normal"/>
    <w:uiPriority w:val="7"/>
    <w:rsid w:val="00F47171"/>
    <w:pPr>
      <w:numPr>
        <w:ilvl w:val="1"/>
        <w:numId w:val="2"/>
      </w:numPr>
      <w:spacing w:line="240" w:lineRule="atLeast"/>
    </w:pPr>
  </w:style>
  <w:style w:type="paragraph" w:styleId="ListBullet">
    <w:name w:val="List Bullet"/>
    <w:basedOn w:val="Normal"/>
    <w:uiPriority w:val="7"/>
    <w:rsid w:val="00F47171"/>
    <w:pPr>
      <w:numPr>
        <w:numId w:val="1"/>
      </w:numPr>
      <w:tabs>
        <w:tab w:val="clear" w:pos="360"/>
      </w:tabs>
      <w:ind w:left="284" w:hanging="284"/>
    </w:pPr>
  </w:style>
  <w:style w:type="paragraph" w:styleId="ListBullet2">
    <w:name w:val="List Bullet 2"/>
    <w:basedOn w:val="Normal"/>
    <w:uiPriority w:val="7"/>
    <w:rsid w:val="00F47171"/>
    <w:pPr>
      <w:numPr>
        <w:numId w:val="4"/>
      </w:numPr>
      <w:ind w:left="567" w:hanging="283"/>
    </w:pPr>
  </w:style>
  <w:style w:type="table" w:styleId="TableGrid">
    <w:name w:val="Table Grid"/>
    <w:basedOn w:val="TableNormal"/>
    <w:uiPriority w:val="39"/>
    <w:rsid w:val="00F47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F47171"/>
    <w:pPr>
      <w:pBdr>
        <w:left w:val="single" w:sz="4" w:space="15" w:color="2575AE" w:themeColor="accent1"/>
      </w:pBdr>
      <w:spacing w:after="120" w:line="240" w:lineRule="exact"/>
      <w:ind w:left="227" w:right="2268"/>
    </w:pPr>
    <w:rPr>
      <w:color w:val="2575AE" w:themeColor="accent1"/>
      <w:sz w:val="20"/>
      <w:szCs w:val="20"/>
    </w:rPr>
  </w:style>
  <w:style w:type="paragraph" w:customStyle="1" w:styleId="GreenTextIndent">
    <w:name w:val="Green Text Indent"/>
    <w:uiPriority w:val="4"/>
    <w:qFormat/>
    <w:rsid w:val="00F47171"/>
    <w:pPr>
      <w:pBdr>
        <w:left w:val="single" w:sz="4" w:space="15" w:color="AFBD22" w:themeColor="text2"/>
      </w:pBdr>
      <w:spacing w:after="120" w:line="240" w:lineRule="exact"/>
      <w:ind w:left="227" w:right="2268"/>
    </w:pPr>
    <w:rPr>
      <w:color w:val="AFBD22" w:themeColor="text2"/>
      <w:sz w:val="20"/>
      <w:szCs w:val="20"/>
    </w:rPr>
  </w:style>
  <w:style w:type="character" w:styleId="PlaceholderText">
    <w:name w:val="Placeholder Text"/>
    <w:basedOn w:val="DefaultParagraphFont"/>
    <w:uiPriority w:val="99"/>
    <w:semiHidden/>
    <w:rsid w:val="00F47171"/>
    <w:rPr>
      <w:color w:val="808080"/>
    </w:rPr>
  </w:style>
  <w:style w:type="table" w:customStyle="1" w:styleId="TableGridLight1">
    <w:name w:val="Table Grid Light1"/>
    <w:basedOn w:val="TableNormal"/>
    <w:uiPriority w:val="40"/>
    <w:rsid w:val="00F47171"/>
    <w:rPr>
      <w:sz w:val="20"/>
      <w:szCs w:val="20"/>
    </w:rPr>
    <w:tblPr>
      <w:tblCellMar>
        <w:left w:w="0" w:type="dxa"/>
        <w:right w:w="0" w:type="dxa"/>
      </w:tblCellMar>
    </w:tblPr>
    <w:tcPr>
      <w:shd w:val="clear" w:color="auto" w:fill="auto"/>
    </w:tcPr>
  </w:style>
  <w:style w:type="paragraph" w:styleId="ListNumber">
    <w:name w:val="List Number"/>
    <w:basedOn w:val="Normal"/>
    <w:uiPriority w:val="99"/>
    <w:semiHidden/>
    <w:rsid w:val="00F47171"/>
    <w:pPr>
      <w:numPr>
        <w:numId w:val="5"/>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F47171"/>
    <w:pPr>
      <w:numPr>
        <w:ilvl w:val="1"/>
        <w:numId w:val="5"/>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F47171"/>
    <w:pPr>
      <w:numPr>
        <w:ilvl w:val="2"/>
        <w:numId w:val="5"/>
      </w:numPr>
      <w:spacing w:before="240"/>
      <w:contextualSpacing/>
    </w:pPr>
    <w:rPr>
      <w:b/>
    </w:rPr>
  </w:style>
  <w:style w:type="paragraph" w:styleId="TOC2">
    <w:name w:val="toc 2"/>
    <w:basedOn w:val="Normal"/>
    <w:next w:val="Normal"/>
    <w:autoRedefine/>
    <w:uiPriority w:val="39"/>
    <w:unhideWhenUsed/>
    <w:rsid w:val="00F47171"/>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F47171"/>
    <w:pPr>
      <w:spacing w:after="100"/>
      <w:ind w:left="400"/>
    </w:pPr>
  </w:style>
  <w:style w:type="paragraph" w:styleId="NoSpacing">
    <w:name w:val="No Spacing"/>
    <w:uiPriority w:val="1"/>
    <w:qFormat/>
    <w:rsid w:val="00F47171"/>
    <w:rPr>
      <w:sz w:val="20"/>
      <w:szCs w:val="20"/>
    </w:rPr>
  </w:style>
  <w:style w:type="paragraph" w:customStyle="1" w:styleId="InformationPageNormal">
    <w:name w:val="Information Page Normal"/>
    <w:uiPriority w:val="1"/>
    <w:qFormat/>
    <w:rsid w:val="00F47171"/>
    <w:pPr>
      <w:spacing w:after="160" w:line="259" w:lineRule="auto"/>
      <w:ind w:right="-1418"/>
    </w:pPr>
    <w:rPr>
      <w:sz w:val="20"/>
      <w:szCs w:val="20"/>
    </w:rPr>
  </w:style>
  <w:style w:type="paragraph" w:customStyle="1" w:styleId="ListNumbering">
    <w:name w:val="List Numbering"/>
    <w:basedOn w:val="ListBullet"/>
    <w:uiPriority w:val="6"/>
    <w:qFormat/>
    <w:rsid w:val="00F47171"/>
    <w:pPr>
      <w:numPr>
        <w:numId w:val="7"/>
      </w:numPr>
    </w:pPr>
  </w:style>
  <w:style w:type="paragraph" w:styleId="BalloonText">
    <w:name w:val="Balloon Text"/>
    <w:basedOn w:val="Normal"/>
    <w:link w:val="BalloonTextChar"/>
    <w:uiPriority w:val="99"/>
    <w:unhideWhenUsed/>
    <w:rsid w:val="00F47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47171"/>
    <w:rPr>
      <w:rFonts w:ascii="Tahoma" w:hAnsi="Tahoma" w:cs="Tahoma"/>
      <w:sz w:val="16"/>
      <w:szCs w:val="16"/>
    </w:rPr>
  </w:style>
  <w:style w:type="table" w:customStyle="1" w:styleId="GridTableLight1">
    <w:name w:val="Grid Table Light1"/>
    <w:basedOn w:val="TableNormal"/>
    <w:uiPriority w:val="40"/>
    <w:rsid w:val="00F4717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F47171"/>
    <w:pPr>
      <w:tabs>
        <w:tab w:val="left" w:pos="924"/>
      </w:tabs>
      <w:spacing w:before="60" w:after="60" w:line="260" w:lineRule="atLeast"/>
    </w:pPr>
    <w:rPr>
      <w:rFonts w:ascii="Whitney Condensed Book" w:eastAsia="Times New Roman" w:hAnsi="Whitney Condensed Book" w:cs="Times New Roman"/>
      <w:szCs w:val="24"/>
      <w:lang w:eastAsia="en-GB"/>
    </w:rPr>
  </w:style>
  <w:style w:type="character" w:customStyle="1" w:styleId="manualtabletextCharChar">
    <w:name w:val="manual table text Char Char"/>
    <w:link w:val="manualtabletext"/>
    <w:rsid w:val="00F47171"/>
    <w:rPr>
      <w:rFonts w:ascii="Whitney Condensed Book" w:eastAsia="Times New Roman" w:hAnsi="Whitney Condensed Book" w:cs="Times New Roman"/>
      <w:sz w:val="20"/>
      <w:szCs w:val="24"/>
      <w:lang w:eastAsia="en-GB"/>
    </w:rPr>
  </w:style>
  <w:style w:type="paragraph" w:customStyle="1" w:styleId="Contactinfo">
    <w:name w:val="Contact info"/>
    <w:basedOn w:val="Normal"/>
    <w:semiHidden/>
    <w:locked/>
    <w:rsid w:val="00F47171"/>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F47171"/>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F47171"/>
    <w:pPr>
      <w:spacing w:after="0" w:line="240" w:lineRule="auto"/>
    </w:pPr>
  </w:style>
  <w:style w:type="character" w:customStyle="1" w:styleId="FootnoteTextChar">
    <w:name w:val="Footnote Text Char"/>
    <w:basedOn w:val="DefaultParagraphFont"/>
    <w:link w:val="FootnoteText"/>
    <w:uiPriority w:val="99"/>
    <w:semiHidden/>
    <w:rsid w:val="00F47171"/>
    <w:rPr>
      <w:sz w:val="20"/>
      <w:szCs w:val="20"/>
    </w:rPr>
  </w:style>
  <w:style w:type="character" w:styleId="FootnoteReference">
    <w:name w:val="footnote reference"/>
    <w:basedOn w:val="DefaultParagraphFont"/>
    <w:uiPriority w:val="99"/>
    <w:semiHidden/>
    <w:unhideWhenUsed/>
    <w:rsid w:val="00F47171"/>
    <w:rPr>
      <w:vertAlign w:val="superscript"/>
    </w:rPr>
  </w:style>
  <w:style w:type="table" w:styleId="ListTable3-Accent1">
    <w:name w:val="List Table 3 Accent 1"/>
    <w:basedOn w:val="TableNormal"/>
    <w:uiPriority w:val="48"/>
    <w:rsid w:val="00F47171"/>
    <w:rPr>
      <w:sz w:val="20"/>
      <w:szCs w:val="20"/>
    </w:r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F47171"/>
    <w:rPr>
      <w:sz w:val="20"/>
      <w:szCs w:val="20"/>
    </w:rPr>
    <w:tblPr>
      <w:tblCellMar>
        <w:left w:w="0" w:type="dxa"/>
        <w:right w:w="0" w:type="dxa"/>
      </w:tblCellMar>
    </w:tblPr>
    <w:tcPr>
      <w:shd w:val="clear" w:color="auto" w:fill="auto"/>
    </w:tcPr>
  </w:style>
  <w:style w:type="character" w:customStyle="1" w:styleId="Heading4Char">
    <w:name w:val="Heading 4 Char"/>
    <w:aliases w:val="Map Title Char"/>
    <w:basedOn w:val="DefaultParagraphFont"/>
    <w:link w:val="Heading4"/>
    <w:uiPriority w:val="9"/>
    <w:rsid w:val="0057494F"/>
    <w:rPr>
      <w:rFonts w:asciiTheme="majorHAnsi" w:eastAsiaTheme="majorEastAsia" w:hAnsiTheme="majorHAnsi" w:cstheme="majorBidi"/>
      <w:i/>
      <w:iCs/>
      <w:color w:val="1B5782" w:themeColor="accent1" w:themeShade="BF"/>
    </w:rPr>
  </w:style>
  <w:style w:type="character" w:customStyle="1" w:styleId="Heading5Char">
    <w:name w:val="Heading 5 Char"/>
    <w:aliases w:val="Block Label Char"/>
    <w:basedOn w:val="DefaultParagraphFont"/>
    <w:link w:val="Heading5"/>
    <w:uiPriority w:val="9"/>
    <w:rsid w:val="0057494F"/>
    <w:rPr>
      <w:rFonts w:asciiTheme="majorHAnsi" w:eastAsiaTheme="majorEastAsia" w:hAnsiTheme="majorHAnsi" w:cstheme="majorBidi"/>
      <w:color w:val="1B5782" w:themeColor="accent1" w:themeShade="BF"/>
    </w:rPr>
  </w:style>
  <w:style w:type="character" w:customStyle="1" w:styleId="Heading6Char">
    <w:name w:val="Heading 6 Char"/>
    <w:aliases w:val="Sub Label Char"/>
    <w:basedOn w:val="DefaultParagraphFont"/>
    <w:link w:val="Heading6"/>
    <w:uiPriority w:val="9"/>
    <w:rsid w:val="0057494F"/>
    <w:rPr>
      <w:rFonts w:ascii="Calibri" w:eastAsia="Calibri" w:hAnsi="Calibri" w:cs="Times New Roman"/>
      <w:b/>
      <w:i/>
      <w:color w:val="000000"/>
      <w:sz w:val="22"/>
      <w:szCs w:val="22"/>
      <w:lang w:val="en-US"/>
    </w:rPr>
  </w:style>
  <w:style w:type="paragraph" w:customStyle="1" w:styleId="Normal-NZTA">
    <w:name w:val="Normal - NZTA"/>
    <w:basedOn w:val="Normal"/>
    <w:link w:val="Normal-NZTAChar"/>
    <w:rsid w:val="0057494F"/>
    <w:pPr>
      <w:spacing w:line="280" w:lineRule="atLeast"/>
    </w:pPr>
    <w:rPr>
      <w:rFonts w:ascii="Calibri" w:eastAsia="Calibri" w:hAnsi="Calibri" w:cs="Times New Roman"/>
      <w:color w:val="000000"/>
      <w:lang w:val="en-US"/>
    </w:rPr>
  </w:style>
  <w:style w:type="paragraph" w:styleId="BodyText">
    <w:name w:val="Body Text"/>
    <w:basedOn w:val="Normal"/>
    <w:link w:val="BodyTextChar"/>
    <w:semiHidden/>
    <w:rsid w:val="0057494F"/>
    <w:rPr>
      <w:rFonts w:ascii="Calibri" w:eastAsia="Calibri" w:hAnsi="Calibri" w:cs="Times New Roman"/>
      <w:color w:val="000000"/>
      <w:sz w:val="24"/>
      <w:lang w:val="en-US"/>
    </w:rPr>
  </w:style>
  <w:style w:type="character" w:customStyle="1" w:styleId="BodyTextChar">
    <w:name w:val="Body Text Char"/>
    <w:basedOn w:val="DefaultParagraphFont"/>
    <w:link w:val="BodyText"/>
    <w:semiHidden/>
    <w:rsid w:val="0057494F"/>
    <w:rPr>
      <w:rFonts w:ascii="Calibri" w:eastAsia="Calibri" w:hAnsi="Calibri" w:cs="Times New Roman"/>
      <w:color w:val="000000"/>
      <w:sz w:val="24"/>
      <w:szCs w:val="22"/>
      <w:lang w:val="en-US"/>
    </w:rPr>
  </w:style>
  <w:style w:type="character" w:styleId="PageNumber">
    <w:name w:val="page number"/>
    <w:basedOn w:val="DefaultParagraphFont"/>
    <w:semiHidden/>
    <w:rsid w:val="0057494F"/>
  </w:style>
  <w:style w:type="character" w:customStyle="1" w:styleId="Normal-NZTAChar">
    <w:name w:val="Normal - NZTA Char"/>
    <w:link w:val="Normal-NZTA"/>
    <w:rsid w:val="0057494F"/>
    <w:rPr>
      <w:rFonts w:ascii="Calibri" w:eastAsia="Calibri" w:hAnsi="Calibri" w:cs="Times New Roman"/>
      <w:color w:val="000000"/>
      <w:szCs w:val="22"/>
      <w:lang w:val="en-US"/>
    </w:rPr>
  </w:style>
  <w:style w:type="character" w:styleId="FollowedHyperlink">
    <w:name w:val="FollowedHyperlink"/>
    <w:rsid w:val="0057494F"/>
    <w:rPr>
      <w:color w:val="800080"/>
      <w:u w:val="single"/>
    </w:rPr>
  </w:style>
  <w:style w:type="paragraph" w:customStyle="1" w:styleId="BlockLine">
    <w:name w:val="Block Line"/>
    <w:basedOn w:val="Normal"/>
    <w:link w:val="BlockLineChar"/>
    <w:rsid w:val="0057494F"/>
    <w:pPr>
      <w:numPr>
        <w:numId w:val="10"/>
      </w:numPr>
      <w:pBdr>
        <w:top w:val="single" w:sz="6" w:space="0" w:color="000000"/>
      </w:pBdr>
      <w:spacing w:before="240"/>
      <w:jc w:val="right"/>
    </w:pPr>
    <w:rPr>
      <w:rFonts w:ascii="Calibri" w:eastAsia="Calibri" w:hAnsi="Calibri" w:cs="Times New Roman"/>
      <w:i/>
      <w:color w:val="000000"/>
      <w:sz w:val="24"/>
      <w:lang w:val="en-US"/>
    </w:rPr>
  </w:style>
  <w:style w:type="paragraph" w:styleId="BlockText">
    <w:name w:val="Block Text"/>
    <w:basedOn w:val="Normal"/>
    <w:link w:val="BlockTextChar"/>
    <w:uiPriority w:val="99"/>
    <w:unhideWhenUsed/>
    <w:rsid w:val="0057494F"/>
    <w:rPr>
      <w:rFonts w:ascii="Calibri" w:eastAsia="Calibri" w:hAnsi="Calibri" w:cs="Times New Roman"/>
      <w:color w:val="000000"/>
      <w:sz w:val="24"/>
      <w:lang w:val="en-US"/>
    </w:rPr>
  </w:style>
  <w:style w:type="paragraph" w:customStyle="1" w:styleId="BulletText1">
    <w:name w:val="Bullet Text 1"/>
    <w:basedOn w:val="Normal"/>
    <w:link w:val="BulletText1Char"/>
    <w:rsid w:val="0057494F"/>
    <w:pPr>
      <w:numPr>
        <w:numId w:val="9"/>
      </w:numPr>
    </w:pPr>
    <w:rPr>
      <w:rFonts w:ascii="Calibri" w:eastAsia="Calibri" w:hAnsi="Calibri" w:cs="Times New Roman"/>
      <w:color w:val="000000"/>
      <w:sz w:val="24"/>
      <w:lang w:val="en-US"/>
    </w:rPr>
  </w:style>
  <w:style w:type="paragraph" w:customStyle="1" w:styleId="BulletText2">
    <w:name w:val="Bullet Text 2"/>
    <w:basedOn w:val="Normal"/>
    <w:link w:val="BulletText2Char"/>
    <w:rsid w:val="0057494F"/>
    <w:pPr>
      <w:numPr>
        <w:ilvl w:val="1"/>
        <w:numId w:val="9"/>
      </w:numPr>
    </w:pPr>
    <w:rPr>
      <w:rFonts w:ascii="Calibri" w:eastAsia="Calibri" w:hAnsi="Calibri" w:cs="Times New Roman"/>
      <w:color w:val="000000"/>
      <w:sz w:val="24"/>
      <w:lang w:val="en-US"/>
    </w:rPr>
  </w:style>
  <w:style w:type="paragraph" w:customStyle="1" w:styleId="BulletText3">
    <w:name w:val="Bullet Text 3"/>
    <w:basedOn w:val="Normal"/>
    <w:link w:val="BulletText3Char"/>
    <w:rsid w:val="0057494F"/>
    <w:pPr>
      <w:numPr>
        <w:ilvl w:val="2"/>
        <w:numId w:val="9"/>
      </w:numPr>
    </w:pPr>
    <w:rPr>
      <w:rFonts w:ascii="Calibri" w:eastAsia="Calibri" w:hAnsi="Calibri" w:cs="Times New Roman"/>
      <w:color w:val="000000"/>
      <w:sz w:val="24"/>
      <w:lang w:val="en-US"/>
    </w:rPr>
  </w:style>
  <w:style w:type="paragraph" w:customStyle="1" w:styleId="ContinuedBlockLabel">
    <w:name w:val="Continued Block Label"/>
    <w:basedOn w:val="Normal"/>
    <w:next w:val="Normal"/>
    <w:link w:val="ContinuedBlockLabelChar"/>
    <w:rsid w:val="0057494F"/>
    <w:pPr>
      <w:spacing w:after="240"/>
    </w:pPr>
    <w:rPr>
      <w:rFonts w:ascii="Calibri" w:eastAsia="Calibri" w:hAnsi="Calibri" w:cs="Times New Roman"/>
      <w:b/>
      <w:color w:val="000000"/>
      <w:lang w:val="en-US"/>
    </w:rPr>
  </w:style>
  <w:style w:type="character" w:styleId="HTMLAcronym">
    <w:name w:val="HTML Acronym"/>
    <w:basedOn w:val="DefaultParagraphFont"/>
    <w:rsid w:val="0057494F"/>
  </w:style>
  <w:style w:type="paragraph" w:customStyle="1" w:styleId="IMTOC">
    <w:name w:val="IMTOC"/>
    <w:rsid w:val="0057494F"/>
    <w:rPr>
      <w:rFonts w:ascii="Times New Roman" w:eastAsia="Times New Roman" w:hAnsi="Times New Roman" w:cs="Times New Roman"/>
      <w:sz w:val="24"/>
      <w:lang w:val="en-US"/>
    </w:rPr>
  </w:style>
  <w:style w:type="paragraph" w:customStyle="1" w:styleId="MapTitleContinued">
    <w:name w:val="Map Title. Continued"/>
    <w:basedOn w:val="Normal"/>
    <w:next w:val="Normal"/>
    <w:link w:val="MapTitleContinuedChar"/>
    <w:rsid w:val="0057494F"/>
    <w:pPr>
      <w:pageBreakBefore/>
      <w:spacing w:after="240"/>
    </w:pPr>
    <w:rPr>
      <w:rFonts w:ascii="Calibri" w:eastAsia="Calibri" w:hAnsi="Calibri" w:cs="Times New Roman"/>
      <w:b/>
      <w:color w:val="000000"/>
      <w:sz w:val="32"/>
      <w:lang w:val="en-US"/>
    </w:rPr>
  </w:style>
  <w:style w:type="paragraph" w:customStyle="1" w:styleId="MemoLine">
    <w:name w:val="Memo Line"/>
    <w:basedOn w:val="BlockLine"/>
    <w:next w:val="Normal"/>
    <w:link w:val="MemoLineChar"/>
    <w:rsid w:val="0057494F"/>
    <w:pPr>
      <w:numPr>
        <w:numId w:val="0"/>
      </w:numPr>
      <w:jc w:val="left"/>
    </w:pPr>
    <w:rPr>
      <w:i w:val="0"/>
    </w:rPr>
  </w:style>
  <w:style w:type="paragraph" w:customStyle="1" w:styleId="NoteText">
    <w:name w:val="Note Text"/>
    <w:basedOn w:val="Normal"/>
    <w:link w:val="NoteTextChar"/>
    <w:rsid w:val="0057494F"/>
    <w:rPr>
      <w:rFonts w:ascii="Calibri" w:eastAsia="Calibri" w:hAnsi="Calibri" w:cs="Times New Roman"/>
      <w:color w:val="000000"/>
      <w:sz w:val="24"/>
      <w:lang w:val="en-US"/>
    </w:rPr>
  </w:style>
  <w:style w:type="paragraph" w:customStyle="1" w:styleId="PublicationTitle">
    <w:name w:val="Publication Title"/>
    <w:basedOn w:val="Normal"/>
    <w:next w:val="Heading4"/>
    <w:link w:val="PublicationTitleChar"/>
    <w:rsid w:val="0057494F"/>
    <w:pPr>
      <w:pageBreakBefore/>
      <w:spacing w:after="240"/>
      <w:jc w:val="center"/>
    </w:pPr>
    <w:rPr>
      <w:rFonts w:ascii="Calibri" w:eastAsia="Calibri" w:hAnsi="Calibri" w:cs="Times New Roman"/>
      <w:b/>
      <w:color w:val="000000"/>
      <w:sz w:val="32"/>
      <w:lang w:val="en-US"/>
    </w:rPr>
  </w:style>
  <w:style w:type="paragraph" w:customStyle="1" w:styleId="TableHeaderText">
    <w:name w:val="Table Header Text"/>
    <w:basedOn w:val="Normal"/>
    <w:link w:val="TableHeaderTextChar"/>
    <w:rsid w:val="0057494F"/>
    <w:pPr>
      <w:jc w:val="center"/>
    </w:pPr>
    <w:rPr>
      <w:rFonts w:ascii="Calibri" w:eastAsia="Calibri" w:hAnsi="Calibri" w:cs="Times New Roman"/>
      <w:b/>
      <w:color w:val="000000"/>
      <w:sz w:val="24"/>
      <w:lang w:val="en-US"/>
    </w:rPr>
  </w:style>
  <w:style w:type="paragraph" w:customStyle="1" w:styleId="TableText">
    <w:name w:val="Table Text"/>
    <w:basedOn w:val="Normal"/>
    <w:link w:val="TableTextChar"/>
    <w:rsid w:val="0057494F"/>
    <w:rPr>
      <w:rFonts w:ascii="Calibri" w:eastAsia="Calibri" w:hAnsi="Calibri" w:cs="Times New Roman"/>
      <w:color w:val="000000"/>
      <w:sz w:val="24"/>
      <w:lang w:val="en-US"/>
    </w:rPr>
  </w:style>
  <w:style w:type="paragraph" w:customStyle="1" w:styleId="TOCTitle">
    <w:name w:val="TOC Title"/>
    <w:basedOn w:val="Normal"/>
    <w:link w:val="TOCTitleChar"/>
    <w:rsid w:val="0057494F"/>
    <w:pPr>
      <w:pageBreakBefore/>
    </w:pPr>
    <w:rPr>
      <w:rFonts w:ascii="Calibri" w:eastAsia="Calibri" w:hAnsi="Calibri" w:cs="Times New Roman"/>
      <w:b/>
      <w:color w:val="000000"/>
      <w:sz w:val="32"/>
      <w:lang w:val="en-US"/>
    </w:rPr>
  </w:style>
  <w:style w:type="paragraph" w:customStyle="1" w:styleId="TOCItem">
    <w:name w:val="TOCItem"/>
    <w:basedOn w:val="Normal"/>
    <w:rsid w:val="0057494F"/>
    <w:pPr>
      <w:tabs>
        <w:tab w:val="left" w:leader="dot" w:pos="7061"/>
        <w:tab w:val="right" w:pos="7524"/>
      </w:tabs>
      <w:spacing w:before="60" w:after="60"/>
      <w:ind w:right="465"/>
    </w:pPr>
    <w:rPr>
      <w:rFonts w:ascii="Calibri" w:eastAsia="Calibri" w:hAnsi="Calibri" w:cs="Times New Roman"/>
      <w:color w:val="000000"/>
      <w:sz w:val="24"/>
      <w:lang w:val="en-US"/>
    </w:rPr>
  </w:style>
  <w:style w:type="paragraph" w:customStyle="1" w:styleId="TOCStem">
    <w:name w:val="TOCStem"/>
    <w:basedOn w:val="Normal"/>
    <w:rsid w:val="0057494F"/>
    <w:rPr>
      <w:rFonts w:ascii="Calibri" w:eastAsia="Calibri" w:hAnsi="Calibri" w:cs="Times New Roman"/>
      <w:color w:val="000000"/>
      <w:sz w:val="24"/>
      <w:lang w:val="en-US"/>
    </w:rPr>
  </w:style>
  <w:style w:type="paragraph" w:styleId="TOC4">
    <w:name w:val="toc 4"/>
    <w:basedOn w:val="Normal"/>
    <w:next w:val="Normal"/>
    <w:autoRedefine/>
    <w:uiPriority w:val="39"/>
    <w:unhideWhenUsed/>
    <w:rsid w:val="0057494F"/>
    <w:pPr>
      <w:spacing w:after="100"/>
      <w:ind w:left="720"/>
    </w:pPr>
    <w:rPr>
      <w:rFonts w:ascii="Calibri" w:eastAsia="Calibri" w:hAnsi="Calibri" w:cs="Times New Roman"/>
      <w:color w:val="000000"/>
      <w:sz w:val="24"/>
      <w:lang w:val="en-US"/>
    </w:rPr>
  </w:style>
  <w:style w:type="paragraph" w:styleId="TOC5">
    <w:name w:val="toc 5"/>
    <w:basedOn w:val="Normal"/>
    <w:next w:val="Normal"/>
    <w:autoRedefine/>
    <w:uiPriority w:val="39"/>
    <w:unhideWhenUsed/>
    <w:rsid w:val="0057494F"/>
    <w:pPr>
      <w:spacing w:after="100"/>
      <w:ind w:left="960"/>
    </w:pPr>
    <w:rPr>
      <w:rFonts w:ascii="Calibri" w:eastAsia="Calibri" w:hAnsi="Calibri" w:cs="Times New Roman"/>
      <w:color w:val="000000"/>
      <w:sz w:val="24"/>
      <w:lang w:val="en-US"/>
    </w:rPr>
  </w:style>
  <w:style w:type="character" w:customStyle="1" w:styleId="BlockTextChar">
    <w:name w:val="Block Text Char"/>
    <w:link w:val="BlockText"/>
    <w:uiPriority w:val="99"/>
    <w:rsid w:val="0057494F"/>
    <w:rPr>
      <w:rFonts w:ascii="Calibri" w:eastAsia="Calibri" w:hAnsi="Calibri" w:cs="Times New Roman"/>
      <w:color w:val="000000"/>
      <w:sz w:val="24"/>
      <w:szCs w:val="22"/>
      <w:lang w:val="en-US"/>
    </w:rPr>
  </w:style>
  <w:style w:type="paragraph" w:customStyle="1" w:styleId="ParaBlock">
    <w:name w:val="Para Block"/>
    <w:basedOn w:val="Normal"/>
    <w:rsid w:val="0057494F"/>
    <w:pPr>
      <w:autoSpaceDE w:val="0"/>
      <w:autoSpaceDN w:val="0"/>
      <w:adjustRightInd w:val="0"/>
      <w:spacing w:line="280" w:lineRule="atLeast"/>
    </w:pPr>
    <w:rPr>
      <w:rFonts w:ascii="Calibri" w:eastAsia="Calibri" w:hAnsi="Calibri" w:cs="Verdana"/>
      <w:color w:val="000000"/>
      <w:sz w:val="24"/>
      <w:szCs w:val="18"/>
      <w:lang w:val="en-GB"/>
    </w:rPr>
  </w:style>
  <w:style w:type="character" w:customStyle="1" w:styleId="PublicationTitleChar">
    <w:name w:val="Publication Title Char"/>
    <w:link w:val="PublicationTitle"/>
    <w:rsid w:val="0057494F"/>
    <w:rPr>
      <w:rFonts w:ascii="Calibri" w:eastAsia="Calibri" w:hAnsi="Calibri" w:cs="Times New Roman"/>
      <w:b/>
      <w:color w:val="000000"/>
      <w:sz w:val="32"/>
      <w:szCs w:val="22"/>
      <w:lang w:val="en-US"/>
    </w:rPr>
  </w:style>
  <w:style w:type="character" w:customStyle="1" w:styleId="MapTitleContinuedChar">
    <w:name w:val="Map Title. Continued Char"/>
    <w:link w:val="MapTitleContinued"/>
    <w:rsid w:val="0057494F"/>
    <w:rPr>
      <w:rFonts w:ascii="Calibri" w:eastAsia="Calibri" w:hAnsi="Calibri" w:cs="Times New Roman"/>
      <w:b/>
      <w:color w:val="000000"/>
      <w:sz w:val="32"/>
      <w:szCs w:val="22"/>
      <w:lang w:val="en-US"/>
    </w:rPr>
  </w:style>
  <w:style w:type="character" w:customStyle="1" w:styleId="ContinuedBlockLabelChar">
    <w:name w:val="Continued Block Label Char"/>
    <w:link w:val="ContinuedBlockLabel"/>
    <w:rsid w:val="0057494F"/>
    <w:rPr>
      <w:rFonts w:ascii="Calibri" w:eastAsia="Calibri" w:hAnsi="Calibri" w:cs="Times New Roman"/>
      <w:b/>
      <w:color w:val="000000"/>
      <w:sz w:val="22"/>
      <w:szCs w:val="22"/>
      <w:lang w:val="en-US"/>
    </w:rPr>
  </w:style>
  <w:style w:type="character" w:customStyle="1" w:styleId="BlockLineChar">
    <w:name w:val="Block Line Char"/>
    <w:link w:val="BlockLine"/>
    <w:rsid w:val="0057494F"/>
    <w:rPr>
      <w:rFonts w:ascii="Calibri" w:eastAsia="Calibri" w:hAnsi="Calibri" w:cs="Times New Roman"/>
      <w:i/>
      <w:color w:val="000000"/>
      <w:sz w:val="24"/>
      <w:szCs w:val="20"/>
      <w:lang w:val="en-US"/>
    </w:rPr>
  </w:style>
  <w:style w:type="character" w:customStyle="1" w:styleId="NoteTextChar">
    <w:name w:val="Note Text Char"/>
    <w:link w:val="NoteText"/>
    <w:rsid w:val="0057494F"/>
    <w:rPr>
      <w:rFonts w:ascii="Calibri" w:eastAsia="Calibri" w:hAnsi="Calibri" w:cs="Times New Roman"/>
      <w:color w:val="000000"/>
      <w:sz w:val="24"/>
      <w:szCs w:val="22"/>
      <w:lang w:val="en-US"/>
    </w:rPr>
  </w:style>
  <w:style w:type="character" w:customStyle="1" w:styleId="MemoLineChar">
    <w:name w:val="Memo Line Char"/>
    <w:link w:val="MemoLine"/>
    <w:rsid w:val="0057494F"/>
    <w:rPr>
      <w:rFonts w:ascii="Calibri" w:eastAsia="Calibri" w:hAnsi="Calibri" w:cs="Times New Roman"/>
      <w:color w:val="000000"/>
      <w:sz w:val="24"/>
      <w:szCs w:val="22"/>
      <w:lang w:val="en-US"/>
    </w:rPr>
  </w:style>
  <w:style w:type="character" w:customStyle="1" w:styleId="TableHeaderTextChar">
    <w:name w:val="Table Header Text Char"/>
    <w:link w:val="TableHeaderText"/>
    <w:rsid w:val="0057494F"/>
    <w:rPr>
      <w:rFonts w:ascii="Calibri" w:eastAsia="Calibri" w:hAnsi="Calibri" w:cs="Times New Roman"/>
      <w:b/>
      <w:color w:val="000000"/>
      <w:sz w:val="24"/>
      <w:szCs w:val="22"/>
      <w:lang w:val="en-US"/>
    </w:rPr>
  </w:style>
  <w:style w:type="character" w:customStyle="1" w:styleId="TableTextChar">
    <w:name w:val="Table Text Char"/>
    <w:link w:val="TableText"/>
    <w:rsid w:val="0057494F"/>
    <w:rPr>
      <w:rFonts w:ascii="Calibri" w:eastAsia="Calibri" w:hAnsi="Calibri" w:cs="Times New Roman"/>
      <w:color w:val="000000"/>
      <w:sz w:val="24"/>
      <w:szCs w:val="22"/>
      <w:lang w:val="en-US"/>
    </w:rPr>
  </w:style>
  <w:style w:type="paragraph" w:customStyle="1" w:styleId="TableSubHeader">
    <w:name w:val="Table SubHeader"/>
    <w:basedOn w:val="Normal"/>
    <w:link w:val="TableSubHeaderChar"/>
    <w:rsid w:val="0057494F"/>
    <w:pPr>
      <w:jc w:val="center"/>
    </w:pPr>
    <w:rPr>
      <w:rFonts w:ascii="Calibri" w:eastAsia="Calibri" w:hAnsi="Calibri" w:cs="Times New Roman"/>
      <w:b/>
      <w:color w:val="000000"/>
      <w:sz w:val="24"/>
      <w:lang w:val="en-US"/>
    </w:rPr>
  </w:style>
  <w:style w:type="character" w:customStyle="1" w:styleId="TableSubHeaderChar">
    <w:name w:val="Table SubHeader Char"/>
    <w:link w:val="TableSubHeader"/>
    <w:rsid w:val="0057494F"/>
    <w:rPr>
      <w:rFonts w:ascii="Calibri" w:eastAsia="Calibri" w:hAnsi="Calibri" w:cs="Times New Roman"/>
      <w:b/>
      <w:color w:val="000000"/>
      <w:sz w:val="24"/>
      <w:szCs w:val="22"/>
      <w:lang w:val="en-US"/>
    </w:rPr>
  </w:style>
  <w:style w:type="character" w:customStyle="1" w:styleId="TOCTitleChar">
    <w:name w:val="TOC Title Char"/>
    <w:link w:val="TOCTitle"/>
    <w:rsid w:val="0057494F"/>
    <w:rPr>
      <w:rFonts w:ascii="Calibri" w:eastAsia="Calibri" w:hAnsi="Calibri" w:cs="Times New Roman"/>
      <w:b/>
      <w:color w:val="000000"/>
      <w:sz w:val="32"/>
      <w:szCs w:val="22"/>
      <w:lang w:val="en-US"/>
    </w:rPr>
  </w:style>
  <w:style w:type="character" w:customStyle="1" w:styleId="BulletText1Char">
    <w:name w:val="Bullet Text 1 Char"/>
    <w:link w:val="BulletText1"/>
    <w:rsid w:val="0057494F"/>
    <w:rPr>
      <w:rFonts w:ascii="Calibri" w:eastAsia="Calibri" w:hAnsi="Calibri" w:cs="Times New Roman"/>
      <w:color w:val="000000"/>
      <w:sz w:val="24"/>
      <w:szCs w:val="20"/>
      <w:lang w:val="en-US"/>
    </w:rPr>
  </w:style>
  <w:style w:type="character" w:customStyle="1" w:styleId="BulletText2Char">
    <w:name w:val="Bullet Text 2 Char"/>
    <w:link w:val="BulletText2"/>
    <w:rsid w:val="0057494F"/>
    <w:rPr>
      <w:rFonts w:ascii="Calibri" w:eastAsia="Calibri" w:hAnsi="Calibri" w:cs="Times New Roman"/>
      <w:color w:val="000000"/>
      <w:sz w:val="24"/>
      <w:szCs w:val="20"/>
      <w:lang w:val="en-US"/>
    </w:rPr>
  </w:style>
  <w:style w:type="character" w:customStyle="1" w:styleId="BulletText3Char">
    <w:name w:val="Bullet Text 3 Char"/>
    <w:link w:val="BulletText3"/>
    <w:rsid w:val="0057494F"/>
    <w:rPr>
      <w:rFonts w:ascii="Calibri" w:eastAsia="Calibri" w:hAnsi="Calibri" w:cs="Times New Roman"/>
      <w:color w:val="000000"/>
      <w:sz w:val="24"/>
      <w:szCs w:val="20"/>
      <w:lang w:val="en-US"/>
    </w:rPr>
  </w:style>
  <w:style w:type="paragraph" w:customStyle="1" w:styleId="NumberedList1">
    <w:name w:val="Numbered List 1"/>
    <w:basedOn w:val="Normal"/>
    <w:link w:val="NumberedList1Char"/>
    <w:rsid w:val="0057494F"/>
    <w:pPr>
      <w:numPr>
        <w:ilvl w:val="1"/>
        <w:numId w:val="10"/>
      </w:numPr>
      <w:tabs>
        <w:tab w:val="clear" w:pos="692"/>
      </w:tabs>
      <w:ind w:left="360" w:hanging="360"/>
    </w:pPr>
    <w:rPr>
      <w:rFonts w:ascii="Calibri" w:eastAsia="Calibri" w:hAnsi="Calibri" w:cs="Times New Roman"/>
      <w:color w:val="000000"/>
      <w:sz w:val="24"/>
      <w:lang w:val="en-US"/>
    </w:rPr>
  </w:style>
  <w:style w:type="character" w:customStyle="1" w:styleId="NumberedList1Char">
    <w:name w:val="Numbered List 1 Char"/>
    <w:link w:val="NumberedList1"/>
    <w:rsid w:val="0057494F"/>
    <w:rPr>
      <w:rFonts w:ascii="Calibri" w:eastAsia="Calibri" w:hAnsi="Calibri" w:cs="Times New Roman"/>
      <w:color w:val="000000"/>
      <w:sz w:val="24"/>
      <w:szCs w:val="20"/>
      <w:lang w:val="en-US"/>
    </w:rPr>
  </w:style>
  <w:style w:type="paragraph" w:customStyle="1" w:styleId="NumberedList2">
    <w:name w:val="Numbered List 2"/>
    <w:basedOn w:val="Normal"/>
    <w:link w:val="NumberedList2Char"/>
    <w:rsid w:val="0057494F"/>
    <w:pPr>
      <w:numPr>
        <w:ilvl w:val="2"/>
        <w:numId w:val="10"/>
      </w:numPr>
    </w:pPr>
    <w:rPr>
      <w:rFonts w:ascii="Calibri" w:eastAsia="Calibri" w:hAnsi="Calibri" w:cs="Times New Roman"/>
      <w:color w:val="000000"/>
      <w:sz w:val="24"/>
      <w:lang w:val="en-US"/>
    </w:rPr>
  </w:style>
  <w:style w:type="character" w:customStyle="1" w:styleId="NumberedList2Char">
    <w:name w:val="Numbered List 2 Char"/>
    <w:link w:val="NumberedList2"/>
    <w:rsid w:val="0057494F"/>
    <w:rPr>
      <w:rFonts w:ascii="Calibri" w:eastAsia="Calibri" w:hAnsi="Calibri" w:cs="Times New Roman"/>
      <w:color w:val="000000"/>
      <w:sz w:val="24"/>
      <w:szCs w:val="20"/>
      <w:lang w:val="en-US"/>
    </w:rPr>
  </w:style>
  <w:style w:type="paragraph" w:customStyle="1" w:styleId="NumberedList3">
    <w:name w:val="Numbered List 3"/>
    <w:basedOn w:val="Normal"/>
    <w:link w:val="NumberedList3Char"/>
    <w:rsid w:val="0057494F"/>
    <w:pPr>
      <w:numPr>
        <w:ilvl w:val="3"/>
        <w:numId w:val="10"/>
      </w:numPr>
    </w:pPr>
    <w:rPr>
      <w:rFonts w:ascii="Calibri" w:eastAsia="Calibri" w:hAnsi="Calibri" w:cs="Times New Roman"/>
      <w:color w:val="000000"/>
      <w:sz w:val="24"/>
      <w:lang w:val="en-US"/>
    </w:rPr>
  </w:style>
  <w:style w:type="character" w:customStyle="1" w:styleId="NumberedList3Char">
    <w:name w:val="Numbered List 3 Char"/>
    <w:link w:val="NumberedList3"/>
    <w:rsid w:val="0057494F"/>
    <w:rPr>
      <w:rFonts w:ascii="Calibri" w:eastAsia="Calibri" w:hAnsi="Calibri" w:cs="Times New Roman"/>
      <w:color w:val="000000"/>
      <w:sz w:val="24"/>
      <w:szCs w:val="20"/>
      <w:lang w:val="en-US"/>
    </w:rPr>
  </w:style>
  <w:style w:type="numbering" w:customStyle="1" w:styleId="FSProStyle7">
    <w:name w:val="FSProStyle7"/>
    <w:basedOn w:val="NoList"/>
    <w:uiPriority w:val="99"/>
    <w:rsid w:val="0057494F"/>
    <w:pPr>
      <w:numPr>
        <w:numId w:val="8"/>
      </w:numPr>
    </w:pPr>
  </w:style>
  <w:style w:type="paragraph" w:styleId="Caption">
    <w:name w:val="caption"/>
    <w:basedOn w:val="Normal"/>
    <w:next w:val="Normal"/>
    <w:uiPriority w:val="35"/>
    <w:unhideWhenUsed/>
    <w:qFormat/>
    <w:rsid w:val="0057494F"/>
    <w:pPr>
      <w:spacing w:after="200"/>
    </w:pPr>
    <w:rPr>
      <w:rFonts w:ascii="Calibri" w:eastAsia="Calibri" w:hAnsi="Calibri" w:cs="Times New Roman"/>
      <w:b/>
      <w:iCs/>
      <w:color w:val="4F81BD"/>
      <w:sz w:val="18"/>
      <w:szCs w:val="18"/>
      <w:lang w:val="en-US"/>
    </w:rPr>
  </w:style>
  <w:style w:type="numbering" w:customStyle="1" w:styleId="BulletTextList">
    <w:name w:val="Bullet Text List"/>
    <w:basedOn w:val="NoList"/>
    <w:rsid w:val="0057494F"/>
    <w:pPr>
      <w:numPr>
        <w:numId w:val="9"/>
      </w:numPr>
    </w:pPr>
  </w:style>
  <w:style w:type="numbering" w:customStyle="1" w:styleId="NumberedListList">
    <w:name w:val="Numbered List List"/>
    <w:basedOn w:val="NoList"/>
    <w:rsid w:val="0057494F"/>
    <w:pPr>
      <w:numPr>
        <w:numId w:val="10"/>
      </w:numPr>
    </w:pPr>
  </w:style>
  <w:style w:type="paragraph" w:styleId="TOC6">
    <w:name w:val="toc 6"/>
    <w:basedOn w:val="Normal"/>
    <w:next w:val="Normal"/>
    <w:autoRedefine/>
    <w:uiPriority w:val="39"/>
    <w:semiHidden/>
    <w:unhideWhenUsed/>
    <w:rsid w:val="0057494F"/>
    <w:pPr>
      <w:spacing w:after="100"/>
      <w:ind w:left="1200"/>
    </w:pPr>
    <w:rPr>
      <w:rFonts w:ascii="Calibri" w:eastAsia="Calibri" w:hAnsi="Calibri" w:cs="Times New Roman"/>
      <w:color w:val="000000"/>
      <w:sz w:val="24"/>
      <w:lang w:val="en-US"/>
    </w:rPr>
  </w:style>
  <w:style w:type="paragraph" w:styleId="TOC7">
    <w:name w:val="toc 7"/>
    <w:basedOn w:val="Normal"/>
    <w:next w:val="Normal"/>
    <w:autoRedefine/>
    <w:uiPriority w:val="39"/>
    <w:semiHidden/>
    <w:unhideWhenUsed/>
    <w:rsid w:val="0057494F"/>
    <w:pPr>
      <w:spacing w:after="100"/>
      <w:ind w:left="1440"/>
    </w:pPr>
    <w:rPr>
      <w:rFonts w:ascii="Calibri" w:eastAsia="Calibri" w:hAnsi="Calibri" w:cs="Times New Roman"/>
      <w:color w:val="000000"/>
      <w:sz w:val="24"/>
      <w:lang w:val="en-US"/>
    </w:rPr>
  </w:style>
  <w:style w:type="paragraph" w:styleId="TOC8">
    <w:name w:val="toc 8"/>
    <w:basedOn w:val="Normal"/>
    <w:next w:val="Normal"/>
    <w:autoRedefine/>
    <w:uiPriority w:val="39"/>
    <w:semiHidden/>
    <w:unhideWhenUsed/>
    <w:rsid w:val="0057494F"/>
    <w:pPr>
      <w:spacing w:after="100"/>
      <w:ind w:left="1680"/>
    </w:pPr>
    <w:rPr>
      <w:rFonts w:ascii="Calibri" w:eastAsia="Calibri" w:hAnsi="Calibri" w:cs="Times New Roman"/>
      <w:color w:val="000000"/>
      <w:sz w:val="24"/>
      <w:lang w:val="en-US"/>
    </w:rPr>
  </w:style>
  <w:style w:type="paragraph" w:styleId="TableofFigures">
    <w:name w:val="table of figures"/>
    <w:basedOn w:val="Normal"/>
    <w:next w:val="Normal"/>
    <w:uiPriority w:val="99"/>
    <w:semiHidden/>
    <w:unhideWhenUsed/>
    <w:rsid w:val="0057494F"/>
    <w:rPr>
      <w:rFonts w:ascii="Calibri" w:eastAsia="Calibri" w:hAnsi="Calibri" w:cs="Times New Roman"/>
      <w:color w:val="000000"/>
      <w:sz w:val="24"/>
      <w:lang w:val="en-US"/>
    </w:rPr>
  </w:style>
  <w:style w:type="paragraph" w:customStyle="1" w:styleId="ContinuedBlockLine">
    <w:name w:val="Continued Block Line"/>
    <w:basedOn w:val="Normal"/>
    <w:next w:val="Normal"/>
    <w:rsid w:val="006B30D9"/>
    <w:rPr>
      <w:rFonts w:ascii="Calibri" w:eastAsia="Calibri" w:hAnsi="Calibri" w:cs="Times New Roman"/>
    </w:rPr>
  </w:style>
  <w:style w:type="character" w:styleId="CommentReference">
    <w:name w:val="annotation reference"/>
    <w:basedOn w:val="DefaultParagraphFont"/>
    <w:semiHidden/>
    <w:unhideWhenUsed/>
    <w:rsid w:val="0057494F"/>
    <w:rPr>
      <w:sz w:val="16"/>
      <w:szCs w:val="16"/>
    </w:rPr>
  </w:style>
  <w:style w:type="paragraph" w:styleId="CommentText">
    <w:name w:val="annotation text"/>
    <w:basedOn w:val="Normal"/>
    <w:link w:val="CommentTextChar"/>
    <w:unhideWhenUsed/>
    <w:rsid w:val="0057494F"/>
    <w:rPr>
      <w:rFonts w:ascii="Calibri" w:eastAsia="Calibri" w:hAnsi="Calibri" w:cs="Times New Roman"/>
      <w:color w:val="000000"/>
      <w:lang w:val="en-US"/>
    </w:rPr>
  </w:style>
  <w:style w:type="character" w:customStyle="1" w:styleId="CommentTextChar">
    <w:name w:val="Comment Text Char"/>
    <w:basedOn w:val="DefaultParagraphFont"/>
    <w:link w:val="CommentText"/>
    <w:rsid w:val="0057494F"/>
    <w:rPr>
      <w:rFonts w:ascii="Calibri" w:eastAsia="Calibri" w:hAnsi="Calibri" w:cs="Times New Roman"/>
      <w:color w:val="000000"/>
      <w:lang w:val="en-US"/>
    </w:rPr>
  </w:style>
  <w:style w:type="paragraph" w:styleId="CommentSubject">
    <w:name w:val="annotation subject"/>
    <w:basedOn w:val="CommentText"/>
    <w:next w:val="CommentText"/>
    <w:link w:val="CommentSubjectChar"/>
    <w:semiHidden/>
    <w:unhideWhenUsed/>
    <w:rsid w:val="0057494F"/>
    <w:rPr>
      <w:b/>
      <w:bCs/>
    </w:rPr>
  </w:style>
  <w:style w:type="character" w:customStyle="1" w:styleId="CommentSubjectChar">
    <w:name w:val="Comment Subject Char"/>
    <w:basedOn w:val="CommentTextChar"/>
    <w:link w:val="CommentSubject"/>
    <w:semiHidden/>
    <w:rsid w:val="0057494F"/>
    <w:rPr>
      <w:rFonts w:ascii="Calibri" w:eastAsia="Calibri" w:hAnsi="Calibri" w:cs="Times New Roman"/>
      <w:b/>
      <w:bCs/>
      <w:color w:val="000000"/>
      <w:lang w:val="en-US"/>
    </w:rPr>
  </w:style>
  <w:style w:type="character" w:styleId="UnresolvedMention">
    <w:name w:val="Unresolved Mention"/>
    <w:basedOn w:val="DefaultParagraphFont"/>
    <w:uiPriority w:val="99"/>
    <w:semiHidden/>
    <w:unhideWhenUsed/>
    <w:rsid w:val="0057494F"/>
    <w:rPr>
      <w:color w:val="808080"/>
      <w:shd w:val="clear" w:color="auto" w:fill="E6E6E6"/>
    </w:rPr>
  </w:style>
  <w:style w:type="character" w:styleId="Strong">
    <w:name w:val="Strong"/>
    <w:basedOn w:val="DefaultParagraphFont"/>
    <w:rsid w:val="0057494F"/>
    <w:rPr>
      <w:b/>
      <w:bCs/>
    </w:rPr>
  </w:style>
  <w:style w:type="table" w:styleId="GridTable4-Accent1">
    <w:name w:val="Grid Table 4 Accent 1"/>
    <w:basedOn w:val="TableNormal"/>
    <w:uiPriority w:val="49"/>
    <w:rsid w:val="00A32B55"/>
    <w:rPr>
      <w:rFonts w:ascii="Calibri" w:eastAsia="Calibri" w:hAnsi="Calibri" w:cs="Times New Roman"/>
      <w:sz w:val="20"/>
      <w:szCs w:val="20"/>
      <w:lang w:eastAsia="en-NZ"/>
    </w:rPr>
    <w:tblPr>
      <w:tblStyleRowBandSize w:val="1"/>
      <w:tblStyleColBandSize w:val="1"/>
      <w:tblBorders>
        <w:top w:val="single" w:sz="4" w:space="0" w:color="6AAEDF" w:themeColor="accent1" w:themeTint="99"/>
        <w:left w:val="single" w:sz="4" w:space="0" w:color="6AAEDF" w:themeColor="accent1" w:themeTint="99"/>
        <w:bottom w:val="single" w:sz="4" w:space="0" w:color="6AAEDF" w:themeColor="accent1" w:themeTint="99"/>
        <w:right w:val="single" w:sz="4" w:space="0" w:color="6AAEDF" w:themeColor="accent1" w:themeTint="99"/>
        <w:insideH w:val="single" w:sz="4" w:space="0" w:color="6AAEDF" w:themeColor="accent1" w:themeTint="99"/>
        <w:insideV w:val="single" w:sz="4" w:space="0" w:color="6AAEDF" w:themeColor="accent1" w:themeTint="99"/>
      </w:tblBorders>
    </w:tblPr>
    <w:tblStylePr w:type="firstRow">
      <w:rPr>
        <w:b/>
        <w:bCs/>
        <w:color w:val="FFFFFF" w:themeColor="background1"/>
      </w:rPr>
      <w:tblPr/>
      <w:tcPr>
        <w:tcBorders>
          <w:top w:val="single" w:sz="4" w:space="0" w:color="2575AE" w:themeColor="accent1"/>
          <w:left w:val="single" w:sz="4" w:space="0" w:color="2575AE" w:themeColor="accent1"/>
          <w:bottom w:val="single" w:sz="4" w:space="0" w:color="2575AE" w:themeColor="accent1"/>
          <w:right w:val="single" w:sz="4" w:space="0" w:color="2575AE" w:themeColor="accent1"/>
          <w:insideH w:val="nil"/>
          <w:insideV w:val="nil"/>
        </w:tcBorders>
        <w:shd w:val="clear" w:color="auto" w:fill="2575AE" w:themeFill="accent1"/>
      </w:tcPr>
    </w:tblStylePr>
    <w:tblStylePr w:type="lastRow">
      <w:rPr>
        <w:b/>
        <w:bCs/>
      </w:rPr>
      <w:tblPr/>
      <w:tcPr>
        <w:tcBorders>
          <w:top w:val="double" w:sz="4" w:space="0" w:color="2575AE" w:themeColor="accent1"/>
        </w:tcBorders>
      </w:tcPr>
    </w:tblStylePr>
    <w:tblStylePr w:type="firstCol">
      <w:rPr>
        <w:b/>
        <w:bCs/>
      </w:rPr>
    </w:tblStylePr>
    <w:tblStylePr w:type="lastCol">
      <w:rPr>
        <w:b/>
        <w:bCs/>
      </w:rPr>
    </w:tblStylePr>
    <w:tblStylePr w:type="band1Vert">
      <w:tblPr/>
      <w:tcPr>
        <w:shd w:val="clear" w:color="auto" w:fill="CDE4F4" w:themeFill="accent1" w:themeFillTint="33"/>
      </w:tcPr>
    </w:tblStylePr>
    <w:tblStylePr w:type="band1Horz">
      <w:tblPr/>
      <w:tcPr>
        <w:shd w:val="clear" w:color="auto" w:fill="CDE4F4" w:themeFill="accent1" w:themeFillTint="33"/>
      </w:tcPr>
    </w:tblStylePr>
  </w:style>
  <w:style w:type="paragraph" w:customStyle="1" w:styleId="SectionHeading">
    <w:name w:val="Section Heading"/>
    <w:next w:val="FluentText"/>
    <w:link w:val="SectionHeadingChar"/>
    <w:qFormat/>
    <w:rsid w:val="009E2DEB"/>
    <w:pPr>
      <w:outlineLvl w:val="0"/>
    </w:pPr>
    <w:rPr>
      <w:rFonts w:ascii="Arial" w:eastAsiaTheme="majorEastAsia" w:hAnsi="Arial" w:cstheme="majorBidi"/>
      <w:b/>
      <w:color w:val="19456B" w:themeColor="background2"/>
      <w:sz w:val="28"/>
      <w:szCs w:val="26"/>
    </w:rPr>
  </w:style>
  <w:style w:type="paragraph" w:customStyle="1" w:styleId="FluentText">
    <w:name w:val="Fluent Text"/>
    <w:link w:val="FluentTextChar"/>
    <w:qFormat/>
    <w:rsid w:val="00545E73"/>
    <w:pPr>
      <w:spacing w:line="252" w:lineRule="auto"/>
    </w:pPr>
    <w:rPr>
      <w:color w:val="000000" w:themeColor="text1"/>
      <w:sz w:val="20"/>
      <w:szCs w:val="20"/>
    </w:rPr>
  </w:style>
  <w:style w:type="character" w:customStyle="1" w:styleId="SectionHeadingChar">
    <w:name w:val="Section Heading Char"/>
    <w:basedOn w:val="Heading2Char"/>
    <w:link w:val="SectionHeading"/>
    <w:rsid w:val="009E2DEB"/>
    <w:rPr>
      <w:rFonts w:ascii="Arial" w:eastAsiaTheme="majorEastAsia" w:hAnsi="Arial" w:cstheme="majorBidi"/>
      <w:b/>
      <w:color w:val="19456B" w:themeColor="background2"/>
      <w:sz w:val="28"/>
      <w:szCs w:val="26"/>
    </w:rPr>
  </w:style>
  <w:style w:type="character" w:customStyle="1" w:styleId="FluentTextChar">
    <w:name w:val="Fluent Text Char"/>
    <w:basedOn w:val="DefaultParagraphFont"/>
    <w:link w:val="FluentText"/>
    <w:rsid w:val="00545E73"/>
    <w:rPr>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9544">
      <w:bodyDiv w:val="1"/>
      <w:marLeft w:val="0"/>
      <w:marRight w:val="0"/>
      <w:marTop w:val="0"/>
      <w:marBottom w:val="0"/>
      <w:divBdr>
        <w:top w:val="none" w:sz="0" w:space="0" w:color="auto"/>
        <w:left w:val="none" w:sz="0" w:space="0" w:color="auto"/>
        <w:bottom w:val="none" w:sz="0" w:space="0" w:color="auto"/>
        <w:right w:val="none" w:sz="0" w:space="0" w:color="auto"/>
      </w:divBdr>
    </w:div>
    <w:div w:id="156531466">
      <w:bodyDiv w:val="1"/>
      <w:marLeft w:val="0"/>
      <w:marRight w:val="0"/>
      <w:marTop w:val="0"/>
      <w:marBottom w:val="0"/>
      <w:divBdr>
        <w:top w:val="none" w:sz="0" w:space="0" w:color="auto"/>
        <w:left w:val="none" w:sz="0" w:space="0" w:color="auto"/>
        <w:bottom w:val="none" w:sz="0" w:space="0" w:color="auto"/>
        <w:right w:val="none" w:sz="0" w:space="0" w:color="auto"/>
      </w:divBdr>
    </w:div>
    <w:div w:id="536504438">
      <w:bodyDiv w:val="1"/>
      <w:marLeft w:val="0"/>
      <w:marRight w:val="0"/>
      <w:marTop w:val="0"/>
      <w:marBottom w:val="0"/>
      <w:divBdr>
        <w:top w:val="none" w:sz="0" w:space="0" w:color="auto"/>
        <w:left w:val="none" w:sz="0" w:space="0" w:color="auto"/>
        <w:bottom w:val="none" w:sz="0" w:space="0" w:color="auto"/>
        <w:right w:val="none" w:sz="0" w:space="0" w:color="auto"/>
      </w:divBdr>
      <w:divsChild>
        <w:div w:id="1742945332">
          <w:marLeft w:val="547"/>
          <w:marRight w:val="0"/>
          <w:marTop w:val="0"/>
          <w:marBottom w:val="0"/>
          <w:divBdr>
            <w:top w:val="none" w:sz="0" w:space="0" w:color="auto"/>
            <w:left w:val="none" w:sz="0" w:space="0" w:color="auto"/>
            <w:bottom w:val="none" w:sz="0" w:space="0" w:color="auto"/>
            <w:right w:val="none" w:sz="0" w:space="0" w:color="auto"/>
          </w:divBdr>
        </w:div>
      </w:divsChild>
    </w:div>
    <w:div w:id="688799544">
      <w:bodyDiv w:val="1"/>
      <w:marLeft w:val="0"/>
      <w:marRight w:val="0"/>
      <w:marTop w:val="0"/>
      <w:marBottom w:val="0"/>
      <w:divBdr>
        <w:top w:val="none" w:sz="0" w:space="0" w:color="auto"/>
        <w:left w:val="none" w:sz="0" w:space="0" w:color="auto"/>
        <w:bottom w:val="none" w:sz="0" w:space="0" w:color="auto"/>
        <w:right w:val="none" w:sz="0" w:space="0" w:color="auto"/>
      </w:divBdr>
    </w:div>
    <w:div w:id="731974736">
      <w:bodyDiv w:val="1"/>
      <w:marLeft w:val="0"/>
      <w:marRight w:val="0"/>
      <w:marTop w:val="0"/>
      <w:marBottom w:val="0"/>
      <w:divBdr>
        <w:top w:val="none" w:sz="0" w:space="0" w:color="auto"/>
        <w:left w:val="none" w:sz="0" w:space="0" w:color="auto"/>
        <w:bottom w:val="none" w:sz="0" w:space="0" w:color="auto"/>
        <w:right w:val="none" w:sz="0" w:space="0" w:color="auto"/>
      </w:divBdr>
      <w:divsChild>
        <w:div w:id="144861566">
          <w:marLeft w:val="547"/>
          <w:marRight w:val="0"/>
          <w:marTop w:val="0"/>
          <w:marBottom w:val="0"/>
          <w:divBdr>
            <w:top w:val="none" w:sz="0" w:space="0" w:color="auto"/>
            <w:left w:val="none" w:sz="0" w:space="0" w:color="auto"/>
            <w:bottom w:val="none" w:sz="0" w:space="0" w:color="auto"/>
            <w:right w:val="none" w:sz="0" w:space="0" w:color="auto"/>
          </w:divBdr>
        </w:div>
      </w:divsChild>
    </w:div>
    <w:div w:id="736126738">
      <w:bodyDiv w:val="1"/>
      <w:marLeft w:val="0"/>
      <w:marRight w:val="0"/>
      <w:marTop w:val="0"/>
      <w:marBottom w:val="0"/>
      <w:divBdr>
        <w:top w:val="none" w:sz="0" w:space="0" w:color="auto"/>
        <w:left w:val="none" w:sz="0" w:space="0" w:color="auto"/>
        <w:bottom w:val="none" w:sz="0" w:space="0" w:color="auto"/>
        <w:right w:val="none" w:sz="0" w:space="0" w:color="auto"/>
      </w:divBdr>
    </w:div>
    <w:div w:id="797453777">
      <w:bodyDiv w:val="1"/>
      <w:marLeft w:val="0"/>
      <w:marRight w:val="0"/>
      <w:marTop w:val="0"/>
      <w:marBottom w:val="0"/>
      <w:divBdr>
        <w:top w:val="none" w:sz="0" w:space="0" w:color="auto"/>
        <w:left w:val="none" w:sz="0" w:space="0" w:color="auto"/>
        <w:bottom w:val="none" w:sz="0" w:space="0" w:color="auto"/>
        <w:right w:val="none" w:sz="0" w:space="0" w:color="auto"/>
      </w:divBdr>
    </w:div>
    <w:div w:id="961425816">
      <w:bodyDiv w:val="1"/>
      <w:marLeft w:val="0"/>
      <w:marRight w:val="0"/>
      <w:marTop w:val="0"/>
      <w:marBottom w:val="0"/>
      <w:divBdr>
        <w:top w:val="none" w:sz="0" w:space="0" w:color="auto"/>
        <w:left w:val="none" w:sz="0" w:space="0" w:color="auto"/>
        <w:bottom w:val="none" w:sz="0" w:space="0" w:color="auto"/>
        <w:right w:val="none" w:sz="0" w:space="0" w:color="auto"/>
      </w:divBdr>
    </w:div>
    <w:div w:id="1367409691">
      <w:bodyDiv w:val="1"/>
      <w:marLeft w:val="0"/>
      <w:marRight w:val="0"/>
      <w:marTop w:val="0"/>
      <w:marBottom w:val="0"/>
      <w:divBdr>
        <w:top w:val="none" w:sz="0" w:space="0" w:color="auto"/>
        <w:left w:val="none" w:sz="0" w:space="0" w:color="auto"/>
        <w:bottom w:val="none" w:sz="0" w:space="0" w:color="auto"/>
        <w:right w:val="none" w:sz="0" w:space="0" w:color="auto"/>
      </w:divBdr>
    </w:div>
    <w:div w:id="1404184053">
      <w:bodyDiv w:val="1"/>
      <w:marLeft w:val="0"/>
      <w:marRight w:val="0"/>
      <w:marTop w:val="0"/>
      <w:marBottom w:val="0"/>
      <w:divBdr>
        <w:top w:val="none" w:sz="0" w:space="0" w:color="auto"/>
        <w:left w:val="none" w:sz="0" w:space="0" w:color="auto"/>
        <w:bottom w:val="none" w:sz="0" w:space="0" w:color="auto"/>
        <w:right w:val="none" w:sz="0" w:space="0" w:color="auto"/>
      </w:divBdr>
    </w:div>
    <w:div w:id="14204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s://www.nzta.govt.nz/planning-and-investment/planning/investment-decision-making-framework-review/investment-prioritisation-method/" TargetMode="External"/><Relationship Id="rId3" Type="http://schemas.openxmlformats.org/officeDocument/2006/relationships/customXml" Target="../customXml/item3.xml"/><Relationship Id="rId21" Type="http://schemas.openxmlformats.org/officeDocument/2006/relationships/hyperlink" Target="https://www.transport.govt.nz/area-of-interest/strategy-and-direction/transport-outcomes-framework/" TargetMode="External"/><Relationship Id="rId34" Type="http://schemas.openxmlformats.org/officeDocument/2006/relationships/hyperlink" Target="https://www.nzta.govt.nz/resources/cost-estimation-manual/" TargetMode="External"/><Relationship Id="rId42" Type="http://schemas.openxmlformats.org/officeDocument/2006/relationships/image" Target="media/image20.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fohub.nzta.govt.nz/otcs/cs.dll/Open/41165576" TargetMode="External"/><Relationship Id="rId17" Type="http://schemas.openxmlformats.org/officeDocument/2006/relationships/image" Target="media/image6.png"/><Relationship Id="rId25" Type="http://schemas.openxmlformats.org/officeDocument/2006/relationships/hyperlink" Target="https://www.nzta.govt.nz/resources/non-monetised-benefits-manual/" TargetMode="External"/><Relationship Id="rId33" Type="http://schemas.openxmlformats.org/officeDocument/2006/relationships/image" Target="media/image16.png"/><Relationship Id="rId38" Type="http://schemas.openxmlformats.org/officeDocument/2006/relationships/hyperlink" Target="https://www.nzta.govt.nz/planning-and-investment/planning/investment-decision-making-framework-review/investment-prioritisation-method/" TargetMode="External"/><Relationship Id="rId46" Type="http://schemas.openxmlformats.org/officeDocument/2006/relationships/image" Target="media/image2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nzta.govt.nz/resources/land-transport-benefits-framework-and-management-approach-guidelines" TargetMode="External"/><Relationship Id="rId29" Type="http://schemas.openxmlformats.org/officeDocument/2006/relationships/image" Target="media/image13.png"/><Relationship Id="rId41" Type="http://schemas.openxmlformats.org/officeDocument/2006/relationships/hyperlink" Target="https://infohub.nzta.govt.nz/otcs/cs.dll/Open/411655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yperlink" Target="https://www.nzta.govt.nz/resources/cost-estimation-manual/" TargetMode="External"/><Relationship Id="rId37" Type="http://schemas.openxmlformats.org/officeDocument/2006/relationships/image" Target="media/image18.png"/><Relationship Id="rId40" Type="http://schemas.openxmlformats.org/officeDocument/2006/relationships/image" Target="media/image19.png"/><Relationship Id="rId45" Type="http://schemas.openxmlformats.org/officeDocument/2006/relationships/image" Target="media/image2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nzta.govt.nz/resources/non-monetised-benefits-manual/" TargetMode="External"/><Relationship Id="rId28" Type="http://schemas.openxmlformats.org/officeDocument/2006/relationships/hyperlink" Target="https://www.nzta.govt.nz/planning-and-investment/planning/investment-decision-making-framework-review/investment-prioritisation-method/" TargetMode="External"/><Relationship Id="rId36" Type="http://schemas.openxmlformats.org/officeDocument/2006/relationships/hyperlink" Target="https://www.nzta.govt.nz/roads-and-rail/highways-information-portal/processes/project-assurance-and-approval-proces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5.png"/><Relationship Id="rId44" Type="http://schemas.openxmlformats.org/officeDocument/2006/relationships/image" Target="media/image2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image" Target="media/image17.png"/><Relationship Id="rId43" Type="http://schemas.openxmlformats.org/officeDocument/2006/relationships/image" Target="media/image21.png"/><Relationship Id="rId48"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FD2A104DB8E47BFE6896D87F0E6E4" ma:contentTypeVersion="6" ma:contentTypeDescription="Create a new document." ma:contentTypeScope="" ma:versionID="6b86d72b4ad30da0406a060e50fd50b7">
  <xsd:schema xmlns:xsd="http://www.w3.org/2001/XMLSchema" xmlns:xs="http://www.w3.org/2001/XMLSchema" xmlns:p="http://schemas.microsoft.com/office/2006/metadata/properties" xmlns:ns2="30b635a2-d8ea-41d8-8c81-85c23e80ea60" xmlns:ns3="0ea47d65-ab9b-4c2b-a25a-d3c99d85cb2a" targetNamespace="http://schemas.microsoft.com/office/2006/metadata/properties" ma:root="true" ma:fieldsID="00a58d631db7a26bb2e62b304bd51938" ns2:_="" ns3:_="">
    <xsd:import namespace="30b635a2-d8ea-41d8-8c81-85c23e80ea60"/>
    <xsd:import namespace="0ea47d65-ab9b-4c2b-a25a-d3c99d85cb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635a2-d8ea-41d8-8c81-85c23e80e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47d65-ab9b-4c2b-a25a-d3c99d85cb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B3336-600B-4D92-83BD-FD059927C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635a2-d8ea-41d8-8c81-85c23e80ea60"/>
    <ds:schemaRef ds:uri="0ea47d65-ab9b-4c2b-a25a-d3c99d85c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2B2BE-ECEC-442F-9891-6EC2DAC31E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239699-22F4-431A-9469-AF2323A3A930}">
  <ds:schemaRefs>
    <ds:schemaRef ds:uri="http://schemas.microsoft.com/sharepoint/v3/contenttype/forms"/>
  </ds:schemaRefs>
</ds:datastoreItem>
</file>

<file path=customXml/itemProps4.xml><?xml version="1.0" encoding="utf-8"?>
<ds:datastoreItem xmlns:ds="http://schemas.openxmlformats.org/officeDocument/2006/customXml" ds:itemID="{F47CF69A-3A88-4EC9-AE97-137FB161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Fung</dc:creator>
  <cp:keywords/>
  <dc:description/>
  <cp:lastModifiedBy>Rebecca Rix</cp:lastModifiedBy>
  <cp:revision>2</cp:revision>
  <cp:lastPrinted>2020-07-31T00:57:00Z</cp:lastPrinted>
  <dcterms:created xsi:type="dcterms:W3CDTF">2021-04-21T04:10:00Z</dcterms:created>
  <dcterms:modified xsi:type="dcterms:W3CDTF">2021-04-21T04:10:00Z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0x010100B46FD2A104DB8E47BFE6896D87F0E6E4</vt:lpwstr>
  </property>
</Properties>
</file>