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3820695"/>
    <w:bookmarkStart w:id="1" w:name="_Toc514059668"/>
    <w:bookmarkStart w:id="2" w:name="_Toc514059669"/>
    <w:p w14:paraId="504D180A" w14:textId="77777777" w:rsidR="008901D5" w:rsidRPr="000C1597" w:rsidRDefault="00781C88" w:rsidP="008901D5">
      <w:pPr>
        <w:pStyle w:val="Title"/>
        <w:ind w:left="0"/>
        <w:rPr>
          <w:rFonts w:cstheme="majorHAnsi"/>
        </w:rPr>
      </w:pPr>
      <w:sdt>
        <w:sdtPr>
          <w:rPr>
            <w:rFonts w:cstheme="majorHAnsi"/>
          </w:rPr>
          <w:id w:val="-1591768250"/>
          <w:placeholder>
            <w:docPart w:val="01F4D367773240829E4B49E6AE60CC12"/>
          </w:placeholder>
          <w:dataBinding w:prefixMappings="xmlns:ns0='http://purl.org/dc/elements/1.1/' xmlns:ns1='http://schemas.openxmlformats.org/package/2006/metadata/core-properties' " w:xpath="/ns1:coreProperties[1]/ns0:title[1]" w:storeItemID="{6C3C8BC8-F283-45AE-878A-BAB7291924A1}"/>
          <w:text/>
        </w:sdtPr>
        <w:sdtEndPr/>
        <w:sdtContent>
          <w:r w:rsidR="000F409D">
            <w:rPr>
              <w:rFonts w:cstheme="majorHAnsi"/>
            </w:rPr>
            <w:t>Contract Procedures Manual (SM021) Part A – Appendix XX</w:t>
          </w:r>
          <w:r w:rsidR="007E6590">
            <w:rPr>
              <w:rFonts w:cstheme="majorHAnsi"/>
            </w:rPr>
            <w:t>V</w:t>
          </w:r>
          <w:r w:rsidR="00D43CFB">
            <w:rPr>
              <w:rFonts w:cstheme="majorHAnsi"/>
            </w:rPr>
            <w:t>I</w:t>
          </w:r>
          <w:r w:rsidR="00DB5307">
            <w:rPr>
              <w:rFonts w:cstheme="majorHAnsi"/>
            </w:rPr>
            <w:t>I</w:t>
          </w:r>
          <w:r w:rsidR="002D7BA0">
            <w:rPr>
              <w:rFonts w:cstheme="majorHAnsi"/>
            </w:rPr>
            <w:t>I</w:t>
          </w:r>
        </w:sdtContent>
      </w:sdt>
      <w:bookmarkEnd w:id="0"/>
      <w:bookmarkEnd w:id="1"/>
    </w:p>
    <w:p w14:paraId="38A00808" w14:textId="71F97293" w:rsidR="008901D5" w:rsidRDefault="00781C88" w:rsidP="008B302D">
      <w:pPr>
        <w:pStyle w:val="Subtitle"/>
        <w:ind w:left="0"/>
        <w:rPr>
          <w:rFonts w:asciiTheme="majorHAnsi" w:hAnsiTheme="majorHAnsi" w:cstheme="majorHAnsi"/>
        </w:rPr>
      </w:pPr>
      <w:r>
        <w:rPr>
          <w:rFonts w:asciiTheme="majorHAnsi" w:hAnsiTheme="majorHAnsi" w:cstheme="majorHAnsi"/>
        </w:rPr>
        <w:t>S</w:t>
      </w:r>
      <w:r w:rsidR="003E2E6B">
        <w:rPr>
          <w:rFonts w:asciiTheme="majorHAnsi" w:hAnsiTheme="majorHAnsi" w:cstheme="majorHAnsi"/>
        </w:rPr>
        <w:t xml:space="preserve">tage 1 procurement </w:t>
      </w:r>
      <w:r w:rsidR="008D7272">
        <w:rPr>
          <w:rFonts w:asciiTheme="majorHAnsi" w:hAnsiTheme="majorHAnsi" w:cstheme="majorHAnsi"/>
        </w:rPr>
        <w:t>strategy</w:t>
      </w:r>
    </w:p>
    <w:p w14:paraId="6E60F0EC" w14:textId="77777777" w:rsidR="007E6590" w:rsidRPr="00DB5307" w:rsidRDefault="007E6590" w:rsidP="007E6590">
      <w:pPr>
        <w:spacing w:before="360" w:after="120" w:line="240" w:lineRule="auto"/>
        <w:jc w:val="center"/>
        <w:outlineLvl w:val="1"/>
        <w:rPr>
          <w:rFonts w:asciiTheme="majorHAnsi" w:eastAsiaTheme="majorEastAsia" w:hAnsiTheme="majorHAnsi" w:cstheme="majorHAnsi"/>
          <w:b/>
          <w:bCs/>
          <w:caps/>
          <w:color w:val="AFBD21"/>
          <w:sz w:val="36"/>
          <w:szCs w:val="36"/>
        </w:rPr>
      </w:pPr>
      <w:r w:rsidRPr="00DB5307">
        <w:rPr>
          <w:rFonts w:asciiTheme="majorHAnsi" w:eastAsiaTheme="majorEastAsia" w:hAnsiTheme="majorHAnsi" w:cstheme="majorHAnsi"/>
          <w:b/>
          <w:bCs/>
          <w:caps/>
          <w:color w:val="AFBD21"/>
          <w:sz w:val="36"/>
          <w:szCs w:val="36"/>
        </w:rPr>
        <w:t>&lt;&lt;Insert project Name&gt;&gt;</w:t>
      </w:r>
    </w:p>
    <w:p w14:paraId="18077BA8" w14:textId="1C6CC091" w:rsidR="007E6590" w:rsidRPr="00DB5307" w:rsidRDefault="00781C88" w:rsidP="007E6590">
      <w:pPr>
        <w:keepNext/>
        <w:keepLines/>
        <w:spacing w:after="360" w:line="280" w:lineRule="atLeast"/>
        <w:jc w:val="center"/>
        <w:outlineLvl w:val="1"/>
        <w:rPr>
          <w:rFonts w:asciiTheme="majorHAnsi" w:eastAsiaTheme="majorEastAsia" w:hAnsiTheme="majorHAnsi" w:cstheme="majorHAnsi"/>
          <w:b/>
          <w:bCs/>
          <w:caps/>
          <w:color w:val="AFBD21"/>
          <w:sz w:val="36"/>
          <w:szCs w:val="36"/>
        </w:rPr>
      </w:pPr>
      <w:r>
        <w:rPr>
          <w:rFonts w:asciiTheme="majorHAnsi" w:eastAsiaTheme="majorEastAsia" w:hAnsiTheme="majorHAnsi" w:cstheme="majorHAnsi"/>
          <w:b/>
          <w:bCs/>
          <w:caps/>
          <w:color w:val="AFBD21"/>
          <w:sz w:val="36"/>
          <w:szCs w:val="36"/>
        </w:rPr>
        <w:t>STAGE</w:t>
      </w:r>
      <w:r w:rsidR="00DB5307" w:rsidRPr="00DB5307">
        <w:rPr>
          <w:rFonts w:asciiTheme="majorHAnsi" w:eastAsiaTheme="majorEastAsia" w:hAnsiTheme="majorHAnsi" w:cstheme="majorHAnsi"/>
          <w:b/>
          <w:bCs/>
          <w:caps/>
          <w:color w:val="AFBD21"/>
          <w:sz w:val="36"/>
          <w:szCs w:val="36"/>
        </w:rPr>
        <w:t xml:space="preserve"> 1 PROCUREMENT </w:t>
      </w:r>
      <w:r w:rsidR="008D7272">
        <w:rPr>
          <w:rFonts w:asciiTheme="majorHAnsi" w:eastAsiaTheme="majorEastAsia" w:hAnsiTheme="majorHAnsi" w:cstheme="majorHAnsi"/>
          <w:b/>
          <w:bCs/>
          <w:caps/>
          <w:color w:val="AFBD21"/>
          <w:sz w:val="36"/>
          <w:szCs w:val="36"/>
        </w:rPr>
        <w:t>STRATEGY</w:t>
      </w:r>
    </w:p>
    <w:p w14:paraId="721FA17D" w14:textId="77777777" w:rsidR="00DB5307" w:rsidRPr="008B25DF" w:rsidRDefault="00DB5307" w:rsidP="004C4C0F">
      <w:pPr>
        <w:pStyle w:val="Heading1"/>
      </w:pPr>
      <w:r w:rsidRPr="00DB5307">
        <w:t>Purpose</w:t>
      </w:r>
    </w:p>
    <w:p w14:paraId="428320DC" w14:textId="5A6B4167" w:rsidR="00DB5307" w:rsidRPr="008B25DF" w:rsidRDefault="00DB5307" w:rsidP="002D7BA0">
      <w:pPr>
        <w:spacing w:after="120"/>
      </w:pPr>
      <w:r w:rsidRPr="008B25DF">
        <w:t xml:space="preserve">The purpose of this </w:t>
      </w:r>
      <w:r w:rsidR="00781C88">
        <w:t>S</w:t>
      </w:r>
      <w:r w:rsidRPr="008B25DF">
        <w:t xml:space="preserve">tage 1 procurement </w:t>
      </w:r>
      <w:r w:rsidR="008D7272">
        <w:t>strategy</w:t>
      </w:r>
      <w:r w:rsidR="00324C46" w:rsidRPr="008B25DF">
        <w:t xml:space="preserve"> </w:t>
      </w:r>
      <w:r w:rsidRPr="008B25DF">
        <w:t>is to:</w:t>
      </w:r>
    </w:p>
    <w:p w14:paraId="3B9079DB" w14:textId="77777777" w:rsidR="00DB5307" w:rsidRPr="008B25DF" w:rsidRDefault="00DB5307" w:rsidP="002D7BA0">
      <w:pPr>
        <w:pStyle w:val="ListParagraph"/>
        <w:numPr>
          <w:ilvl w:val="0"/>
          <w:numId w:val="24"/>
        </w:numPr>
        <w:ind w:left="360"/>
      </w:pPr>
      <w:r w:rsidRPr="008B25DF">
        <w:t xml:space="preserve">document the key considerations made in the selection of a delivery model for the </w:t>
      </w:r>
      <w:r w:rsidRPr="00DB5307">
        <w:rPr>
          <w:highlight w:val="yellow"/>
        </w:rPr>
        <w:t>&lt;&lt;insert project name&gt;&gt;</w:t>
      </w:r>
      <w:r w:rsidRPr="008B25DF">
        <w:t xml:space="preserve"> project, and </w:t>
      </w:r>
    </w:p>
    <w:p w14:paraId="309F898C" w14:textId="77777777" w:rsidR="00DB5307" w:rsidRPr="008B25DF" w:rsidRDefault="00DB5307" w:rsidP="002D7BA0">
      <w:pPr>
        <w:pStyle w:val="ListParagraph"/>
        <w:numPr>
          <w:ilvl w:val="0"/>
          <w:numId w:val="24"/>
        </w:numPr>
        <w:ind w:left="360"/>
      </w:pPr>
      <w:r w:rsidRPr="008B25DF">
        <w:t xml:space="preserve">confirm the </w:t>
      </w:r>
      <w:proofErr w:type="gramStart"/>
      <w:r w:rsidRPr="008B25DF">
        <w:t>high level</w:t>
      </w:r>
      <w:proofErr w:type="gramEnd"/>
      <w:r w:rsidRPr="008B25DF">
        <w:t xml:space="preserve"> details in the approach to be taken to procurement.</w:t>
      </w:r>
    </w:p>
    <w:p w14:paraId="736C822B" w14:textId="77777777" w:rsidR="00DB5307" w:rsidRPr="008B25DF" w:rsidRDefault="00DB5307" w:rsidP="004C4C0F">
      <w:pPr>
        <w:pStyle w:val="Heading1"/>
      </w:pPr>
      <w:r w:rsidRPr="008B25DF">
        <w:t>Background</w:t>
      </w:r>
    </w:p>
    <w:p w14:paraId="24CAA24F" w14:textId="77777777" w:rsidR="00DB5307" w:rsidRPr="008B25DF" w:rsidRDefault="00DB5307" w:rsidP="004C4C0F">
      <w:pPr>
        <w:pStyle w:val="Heading2"/>
      </w:pPr>
      <w:r w:rsidRPr="008B25DF">
        <w:t>Description</w:t>
      </w:r>
    </w:p>
    <w:p w14:paraId="0CC17FC1" w14:textId="77777777" w:rsidR="00DB5307" w:rsidRPr="008B25DF" w:rsidRDefault="00DB5307" w:rsidP="002D7BA0">
      <w:pPr>
        <w:tabs>
          <w:tab w:val="left" w:pos="720"/>
        </w:tabs>
        <w:snapToGrid w:val="0"/>
        <w:spacing w:line="260" w:lineRule="atLeast"/>
        <w:rPr>
          <w:rFonts w:eastAsia="Times New Roman" w:cs="Arial"/>
          <w:szCs w:val="20"/>
        </w:rPr>
      </w:pPr>
      <w:r w:rsidRPr="008B25DF">
        <w:rPr>
          <w:rFonts w:eastAsia="Times New Roman" w:cs="Times New Roman"/>
          <w:szCs w:val="20"/>
          <w:highlight w:val="yellow"/>
        </w:rPr>
        <w:t xml:space="preserve">&lt;&lt;List the </w:t>
      </w:r>
      <w:proofErr w:type="gramStart"/>
      <w:r w:rsidRPr="008B25DF">
        <w:rPr>
          <w:rFonts w:eastAsia="Times New Roman" w:cs="Times New Roman"/>
          <w:szCs w:val="20"/>
          <w:highlight w:val="yellow"/>
        </w:rPr>
        <w:t>high level</w:t>
      </w:r>
      <w:proofErr w:type="gramEnd"/>
      <w:r w:rsidRPr="008B25DF">
        <w:rPr>
          <w:rFonts w:eastAsia="Times New Roman" w:cs="Times New Roman"/>
          <w:szCs w:val="20"/>
          <w:highlight w:val="yellow"/>
        </w:rPr>
        <w:t xml:space="preserve"> objectives of the project, its key features, and the major scope items&gt;&gt;</w:t>
      </w:r>
    </w:p>
    <w:p w14:paraId="764EB46D" w14:textId="77777777" w:rsidR="00DB5307" w:rsidRPr="008B25DF" w:rsidRDefault="00DB5307" w:rsidP="002D7BA0">
      <w:pPr>
        <w:snapToGrid w:val="0"/>
        <w:spacing w:line="260" w:lineRule="atLeast"/>
        <w:rPr>
          <w:rFonts w:cs="Arial"/>
          <w:szCs w:val="20"/>
          <w:highlight w:val="yellow"/>
        </w:rPr>
      </w:pPr>
      <w:r w:rsidRPr="008B25DF">
        <w:rPr>
          <w:rFonts w:cs="Arial"/>
          <w:szCs w:val="20"/>
          <w:highlight w:val="yellow"/>
        </w:rPr>
        <w:t>&lt;&lt;Note the latest project out-turn cost estimate and the allocation for the design phase&gt;&gt;</w:t>
      </w:r>
    </w:p>
    <w:p w14:paraId="446CA4F8" w14:textId="77777777" w:rsidR="00DB5307" w:rsidRPr="008B25DF" w:rsidRDefault="00DB5307" w:rsidP="002D7BA0">
      <w:pPr>
        <w:snapToGrid w:val="0"/>
        <w:spacing w:line="260" w:lineRule="atLeast"/>
        <w:rPr>
          <w:rFonts w:cs="Arial"/>
          <w:szCs w:val="20"/>
          <w:highlight w:val="yellow"/>
        </w:rPr>
      </w:pPr>
      <w:r w:rsidRPr="008B25DF">
        <w:rPr>
          <w:rFonts w:cs="Arial"/>
          <w:szCs w:val="20"/>
          <w:highlight w:val="yellow"/>
        </w:rPr>
        <w:t>&lt;&lt;Summarise the key programme dates, or attach the most recent risk adjusted programme, based on the selected delivery model&gt;&gt;</w:t>
      </w:r>
    </w:p>
    <w:p w14:paraId="1701A32D" w14:textId="77777777" w:rsidR="00DB5307" w:rsidRPr="008B25DF" w:rsidRDefault="00DB5307" w:rsidP="002D7BA0">
      <w:pPr>
        <w:snapToGrid w:val="0"/>
        <w:spacing w:line="260" w:lineRule="atLeast"/>
        <w:rPr>
          <w:rFonts w:cs="Arial"/>
          <w:szCs w:val="20"/>
          <w:highlight w:val="yellow"/>
        </w:rPr>
      </w:pPr>
      <w:r w:rsidRPr="008B25DF">
        <w:rPr>
          <w:szCs w:val="20"/>
          <w:highlight w:val="yellow"/>
        </w:rPr>
        <w:t>&lt;&lt; Summarise how the project fits into the national/regional state highway plan and the key drivers and objectives behind the project (i.e. priority)&gt;&gt;</w:t>
      </w:r>
    </w:p>
    <w:p w14:paraId="34DDAA19" w14:textId="77777777" w:rsidR="00DB5307" w:rsidRPr="008B25DF" w:rsidRDefault="00DB5307" w:rsidP="004C4C0F">
      <w:pPr>
        <w:pStyle w:val="Heading2"/>
      </w:pPr>
      <w:r w:rsidRPr="008B25DF">
        <w:t>Status</w:t>
      </w:r>
    </w:p>
    <w:p w14:paraId="36D35620" w14:textId="77777777" w:rsidR="00DB5307" w:rsidRPr="001D4093" w:rsidRDefault="00DB5307" w:rsidP="002D7BA0">
      <w:pPr>
        <w:tabs>
          <w:tab w:val="left" w:pos="720"/>
        </w:tabs>
        <w:snapToGrid w:val="0"/>
        <w:spacing w:line="260" w:lineRule="atLeast"/>
        <w:rPr>
          <w:szCs w:val="20"/>
          <w:highlight w:val="yellow"/>
        </w:rPr>
      </w:pPr>
      <w:r w:rsidRPr="001D4093">
        <w:rPr>
          <w:szCs w:val="20"/>
          <w:highlight w:val="yellow"/>
        </w:rPr>
        <w:t>&lt;&lt;Include a brief description of the status of critical aspects of the project such as: funding, statutory approvals, property acquisition, consultation, investigations including geotechnical data, scheme assessment, etc.&gt;&gt;</w:t>
      </w:r>
    </w:p>
    <w:p w14:paraId="649BE9AE" w14:textId="77777777" w:rsidR="00DB5307" w:rsidRPr="008B25DF" w:rsidRDefault="00DB5307" w:rsidP="004C4C0F">
      <w:pPr>
        <w:pStyle w:val="Heading2"/>
      </w:pPr>
      <w:r w:rsidRPr="008B25DF">
        <w:t>Major projects portfolio</w:t>
      </w:r>
    </w:p>
    <w:p w14:paraId="4C60B32B" w14:textId="77777777" w:rsidR="00DB5307" w:rsidRPr="008B25DF" w:rsidRDefault="00DB5307" w:rsidP="002D7BA0">
      <w:pPr>
        <w:tabs>
          <w:tab w:val="left" w:pos="720"/>
        </w:tabs>
        <w:snapToGrid w:val="0"/>
        <w:spacing w:line="260" w:lineRule="atLeast"/>
        <w:rPr>
          <w:rFonts w:cs="Arial"/>
          <w:szCs w:val="20"/>
        </w:rPr>
      </w:pPr>
      <w:r w:rsidRPr="008B25DF">
        <w:rPr>
          <w:rFonts w:cs="Arial"/>
          <w:szCs w:val="20"/>
          <w:highlight w:val="yellow"/>
        </w:rPr>
        <w:t>&lt;&lt;Describe the tie-in with other projects due for tender/construction during the same period, including where possible consideration of both internal and external projects, at both a regional, and national level, if there are likely to be any capacity constraints etc.&gt;&gt;</w:t>
      </w:r>
    </w:p>
    <w:p w14:paraId="34C6553C" w14:textId="77777777" w:rsidR="00DB5307" w:rsidRPr="008B25DF" w:rsidRDefault="00DB5307" w:rsidP="002D7BA0">
      <w:pPr>
        <w:tabs>
          <w:tab w:val="left" w:pos="720"/>
        </w:tabs>
        <w:snapToGrid w:val="0"/>
        <w:spacing w:line="260" w:lineRule="atLeast"/>
        <w:rPr>
          <w:rFonts w:cs="Arial"/>
          <w:szCs w:val="20"/>
        </w:rPr>
      </w:pPr>
      <w:r w:rsidRPr="008B25DF">
        <w:rPr>
          <w:rFonts w:cs="Arial"/>
          <w:szCs w:val="20"/>
          <w:highlight w:val="yellow"/>
        </w:rPr>
        <w:t>&lt;&lt;Include consideration of the expected tenderers for the respective PS and PW tenders&gt;&gt;</w:t>
      </w:r>
    </w:p>
    <w:p w14:paraId="37C0A5C1" w14:textId="77777777" w:rsidR="00DB5307" w:rsidRPr="008B25DF" w:rsidRDefault="00DB5307" w:rsidP="004C4C0F">
      <w:pPr>
        <w:pStyle w:val="Heading1"/>
      </w:pPr>
      <w:r w:rsidRPr="008B25DF">
        <w:t>Delivery model assessment</w:t>
      </w:r>
    </w:p>
    <w:p w14:paraId="74A3B779" w14:textId="77777777" w:rsidR="00DB5307" w:rsidRPr="008B25DF" w:rsidRDefault="00DB5307" w:rsidP="002D7BA0">
      <w:pPr>
        <w:tabs>
          <w:tab w:val="left" w:pos="720"/>
        </w:tabs>
        <w:snapToGrid w:val="0"/>
        <w:spacing w:line="260" w:lineRule="atLeast"/>
        <w:rPr>
          <w:rFonts w:ascii="Times New Roman" w:eastAsia="Times New Roman" w:hAnsi="Times New Roman" w:cs="Times New Roman"/>
          <w:sz w:val="24"/>
          <w:szCs w:val="20"/>
          <w:lang w:eastAsia="en-NZ"/>
        </w:rPr>
      </w:pPr>
      <w:r w:rsidRPr="008B25DF">
        <w:rPr>
          <w:rFonts w:eastAsia="Times New Roman" w:cs="Arial"/>
          <w:szCs w:val="20"/>
          <w:highlight w:val="yellow"/>
        </w:rPr>
        <w:t>&lt;&lt;</w:t>
      </w:r>
      <w:proofErr w:type="gramStart"/>
      <w:r w:rsidRPr="00DB5307">
        <w:rPr>
          <w:rFonts w:cs="Arial"/>
          <w:szCs w:val="20"/>
          <w:highlight w:val="yellow"/>
        </w:rPr>
        <w:t>Make</w:t>
      </w:r>
      <w:r w:rsidRPr="008B25DF">
        <w:rPr>
          <w:rFonts w:eastAsia="Times New Roman" w:cs="Arial"/>
          <w:szCs w:val="20"/>
          <w:highlight w:val="yellow"/>
        </w:rPr>
        <w:t xml:space="preserve"> an assessment of</w:t>
      </w:r>
      <w:proofErr w:type="gramEnd"/>
      <w:r w:rsidRPr="008B25DF">
        <w:rPr>
          <w:rFonts w:eastAsia="Times New Roman" w:cs="Arial"/>
          <w:szCs w:val="20"/>
          <w:highlight w:val="yellow"/>
        </w:rPr>
        <w:t xml:space="preserve"> the relative merits of the various PW delivery models available, in comparison to the project key characteristics, risks, programme constraints, and the market assessment.</w:t>
      </w:r>
    </w:p>
    <w:p w14:paraId="47C29F68" w14:textId="77777777" w:rsidR="00DB5307" w:rsidRPr="008B25DF" w:rsidRDefault="00DB5307" w:rsidP="002D7BA0">
      <w:pPr>
        <w:tabs>
          <w:tab w:val="left" w:pos="720"/>
        </w:tabs>
        <w:snapToGrid w:val="0"/>
        <w:spacing w:line="260" w:lineRule="atLeast"/>
        <w:rPr>
          <w:rFonts w:eastAsia="Times New Roman" w:cs="Arial"/>
          <w:szCs w:val="20"/>
          <w:highlight w:val="yellow"/>
        </w:rPr>
      </w:pPr>
      <w:r w:rsidRPr="008B25DF">
        <w:rPr>
          <w:rFonts w:eastAsia="Times New Roman" w:cs="Arial"/>
          <w:szCs w:val="20"/>
          <w:highlight w:val="yellow"/>
        </w:rPr>
        <w:t>Include a consideration, where relevant against each of the following criteria:</w:t>
      </w:r>
    </w:p>
    <w:p w14:paraId="106A3BC4" w14:textId="77777777" w:rsidR="00DB5307" w:rsidRPr="00AE3AE0" w:rsidRDefault="00DB5307" w:rsidP="002D7BA0">
      <w:pPr>
        <w:pStyle w:val="ListParagraph"/>
        <w:numPr>
          <w:ilvl w:val="0"/>
          <w:numId w:val="24"/>
        </w:numPr>
        <w:ind w:left="360"/>
        <w:rPr>
          <w:highlight w:val="yellow"/>
        </w:rPr>
      </w:pPr>
      <w:r w:rsidRPr="00AE3AE0">
        <w:rPr>
          <w:highlight w:val="yellow"/>
        </w:rPr>
        <w:lastRenderedPageBreak/>
        <w:t>Scale.</w:t>
      </w:r>
    </w:p>
    <w:p w14:paraId="56837FA8" w14:textId="77777777" w:rsidR="00DB5307" w:rsidRPr="00AE3AE0" w:rsidRDefault="00DB5307" w:rsidP="002D7BA0">
      <w:pPr>
        <w:pStyle w:val="ListParagraph"/>
        <w:numPr>
          <w:ilvl w:val="0"/>
          <w:numId w:val="24"/>
        </w:numPr>
        <w:ind w:left="360"/>
        <w:rPr>
          <w:highlight w:val="yellow"/>
        </w:rPr>
      </w:pPr>
      <w:r w:rsidRPr="00AE3AE0">
        <w:rPr>
          <w:highlight w:val="yellow"/>
        </w:rPr>
        <w:t>Complexity/Scope for innovation.</w:t>
      </w:r>
    </w:p>
    <w:p w14:paraId="0DC52561" w14:textId="77777777" w:rsidR="00DB5307" w:rsidRPr="00AE3AE0" w:rsidRDefault="00DB5307" w:rsidP="002D7BA0">
      <w:pPr>
        <w:pStyle w:val="ListParagraph"/>
        <w:numPr>
          <w:ilvl w:val="0"/>
          <w:numId w:val="24"/>
        </w:numPr>
        <w:ind w:left="360"/>
        <w:rPr>
          <w:highlight w:val="yellow"/>
        </w:rPr>
      </w:pPr>
      <w:r w:rsidRPr="00AE3AE0">
        <w:rPr>
          <w:highlight w:val="yellow"/>
        </w:rPr>
        <w:t>Programme constraint.</w:t>
      </w:r>
    </w:p>
    <w:p w14:paraId="5F37A971" w14:textId="77777777" w:rsidR="00DB5307" w:rsidRPr="00AE3AE0" w:rsidRDefault="00DB5307" w:rsidP="002D7BA0">
      <w:pPr>
        <w:pStyle w:val="ListParagraph"/>
        <w:numPr>
          <w:ilvl w:val="0"/>
          <w:numId w:val="24"/>
        </w:numPr>
        <w:ind w:left="360"/>
        <w:rPr>
          <w:highlight w:val="yellow"/>
        </w:rPr>
      </w:pPr>
      <w:r w:rsidRPr="00AE3AE0">
        <w:rPr>
          <w:highlight w:val="yellow"/>
        </w:rPr>
        <w:t>Market conditions.</w:t>
      </w:r>
    </w:p>
    <w:p w14:paraId="756C3E85" w14:textId="77777777" w:rsidR="00DB5307" w:rsidRPr="00AE3AE0" w:rsidRDefault="00DB5307" w:rsidP="002D7BA0">
      <w:pPr>
        <w:pStyle w:val="ListParagraph"/>
        <w:numPr>
          <w:ilvl w:val="0"/>
          <w:numId w:val="24"/>
        </w:numPr>
        <w:ind w:left="360"/>
        <w:rPr>
          <w:highlight w:val="yellow"/>
        </w:rPr>
      </w:pPr>
      <w:r w:rsidRPr="00AE3AE0">
        <w:rPr>
          <w:highlight w:val="yellow"/>
        </w:rPr>
        <w:t>Risk (quantum and type).</w:t>
      </w:r>
    </w:p>
    <w:p w14:paraId="54A778CA" w14:textId="77777777" w:rsidR="00DB5307" w:rsidRPr="00AE3AE0" w:rsidRDefault="00DB5307" w:rsidP="002D7BA0">
      <w:pPr>
        <w:pStyle w:val="ListParagraph"/>
        <w:numPr>
          <w:ilvl w:val="0"/>
          <w:numId w:val="24"/>
        </w:numPr>
        <w:ind w:left="360"/>
        <w:rPr>
          <w:highlight w:val="yellow"/>
        </w:rPr>
      </w:pPr>
      <w:r w:rsidRPr="00AE3AE0">
        <w:rPr>
          <w:highlight w:val="yellow"/>
        </w:rPr>
        <w:t>Stakeholders.</w:t>
      </w:r>
    </w:p>
    <w:p w14:paraId="37D1BC9E" w14:textId="77777777" w:rsidR="00DB5307" w:rsidRPr="00AE3AE0" w:rsidRDefault="00DB5307" w:rsidP="002D7BA0">
      <w:pPr>
        <w:pStyle w:val="ListParagraph"/>
        <w:numPr>
          <w:ilvl w:val="0"/>
          <w:numId w:val="24"/>
        </w:numPr>
        <w:ind w:left="360"/>
        <w:rPr>
          <w:highlight w:val="yellow"/>
        </w:rPr>
      </w:pPr>
      <w:r w:rsidRPr="00AE3AE0">
        <w:rPr>
          <w:highlight w:val="yellow"/>
        </w:rPr>
        <w:t>Client involvement, control and capability.</w:t>
      </w:r>
    </w:p>
    <w:p w14:paraId="043DCE12" w14:textId="77777777" w:rsidR="00DB5307" w:rsidRPr="00AE3AE0" w:rsidRDefault="00DB5307" w:rsidP="002D7BA0">
      <w:pPr>
        <w:pStyle w:val="ListParagraph"/>
        <w:numPr>
          <w:ilvl w:val="0"/>
          <w:numId w:val="24"/>
        </w:numPr>
        <w:ind w:left="360"/>
        <w:rPr>
          <w:highlight w:val="yellow"/>
        </w:rPr>
      </w:pPr>
      <w:r w:rsidRPr="00AE3AE0">
        <w:rPr>
          <w:highlight w:val="yellow"/>
        </w:rPr>
        <w:t>Focus on non-cost success (e.g. social and environmental).</w:t>
      </w:r>
    </w:p>
    <w:p w14:paraId="521745C1" w14:textId="77777777" w:rsidR="00DB5307" w:rsidRPr="00AE3AE0" w:rsidRDefault="00DB5307" w:rsidP="002D7BA0">
      <w:pPr>
        <w:pStyle w:val="ListParagraph"/>
        <w:numPr>
          <w:ilvl w:val="0"/>
          <w:numId w:val="24"/>
        </w:numPr>
        <w:ind w:left="360"/>
        <w:rPr>
          <w:highlight w:val="yellow"/>
        </w:rPr>
      </w:pPr>
      <w:r w:rsidRPr="00AE3AE0">
        <w:rPr>
          <w:highlight w:val="yellow"/>
        </w:rPr>
        <w:t>Tangible demonstration of value for money.</w:t>
      </w:r>
    </w:p>
    <w:p w14:paraId="61DBE650" w14:textId="77777777" w:rsidR="00DB5307" w:rsidRPr="00AE3AE0" w:rsidRDefault="00DB5307" w:rsidP="002D7BA0">
      <w:pPr>
        <w:pStyle w:val="ListParagraph"/>
        <w:numPr>
          <w:ilvl w:val="0"/>
          <w:numId w:val="24"/>
        </w:numPr>
        <w:ind w:left="360"/>
        <w:rPr>
          <w:highlight w:val="yellow"/>
        </w:rPr>
      </w:pPr>
      <w:r w:rsidRPr="00AE3AE0">
        <w:rPr>
          <w:highlight w:val="yellow"/>
        </w:rPr>
        <w:t>Flexibility to deal with change.</w:t>
      </w:r>
    </w:p>
    <w:p w14:paraId="4C1F65CD" w14:textId="77777777" w:rsidR="00DB5307" w:rsidRPr="008B25DF" w:rsidRDefault="00DB5307" w:rsidP="002D7BA0">
      <w:pPr>
        <w:tabs>
          <w:tab w:val="left" w:pos="720"/>
        </w:tabs>
        <w:snapToGrid w:val="0"/>
        <w:spacing w:line="260" w:lineRule="atLeast"/>
        <w:rPr>
          <w:rFonts w:eastAsia="Times New Roman" w:cs="Arial"/>
          <w:szCs w:val="20"/>
        </w:rPr>
      </w:pPr>
      <w:r w:rsidRPr="008B25DF">
        <w:rPr>
          <w:rFonts w:eastAsia="Times New Roman" w:cs="Arial"/>
          <w:szCs w:val="20"/>
          <w:highlight w:val="yellow"/>
        </w:rPr>
        <w:t>OPTIONAL: use the model selection matrix, attach the output, and explain the logic used in applying weightings etc.&gt;&gt;</w:t>
      </w:r>
    </w:p>
    <w:p w14:paraId="6B914209" w14:textId="77777777" w:rsidR="00DB5307" w:rsidRPr="008B25DF" w:rsidRDefault="00DB5307" w:rsidP="002D7BA0">
      <w:pPr>
        <w:tabs>
          <w:tab w:val="left" w:pos="720"/>
        </w:tabs>
        <w:snapToGrid w:val="0"/>
        <w:spacing w:line="260" w:lineRule="atLeast"/>
        <w:rPr>
          <w:szCs w:val="20"/>
        </w:rPr>
      </w:pPr>
      <w:r w:rsidRPr="008B25DF">
        <w:rPr>
          <w:szCs w:val="20"/>
          <w:highlight w:val="yellow"/>
        </w:rPr>
        <w:t>&lt;&lt; For the two or three most appropriate models list the advantages and disadvantages of each model for the project being considered. Then state the selected model and summarise the key reasons (see listed advantages and disadvantages for models at the end of this template). Describe how best value for money will be obtained through the selected delivery model and supplier selection process&gt;&gt;</w:t>
      </w:r>
    </w:p>
    <w:p w14:paraId="3E9F47EF" w14:textId="77777777" w:rsidR="00DB5307" w:rsidRPr="008B25DF" w:rsidRDefault="00DB5307" w:rsidP="004C4C0F">
      <w:pPr>
        <w:pStyle w:val="Heading1"/>
      </w:pPr>
      <w:r w:rsidRPr="008B25DF">
        <w:t>Procurement details</w:t>
      </w:r>
    </w:p>
    <w:p w14:paraId="7F976E9E" w14:textId="77777777" w:rsidR="00DB5307" w:rsidRPr="008B25DF" w:rsidRDefault="00DB5307" w:rsidP="002D7BA0">
      <w:pPr>
        <w:tabs>
          <w:tab w:val="left" w:pos="720"/>
        </w:tabs>
        <w:snapToGrid w:val="0"/>
        <w:spacing w:line="260" w:lineRule="atLeast"/>
        <w:rPr>
          <w:rFonts w:cs="Arial"/>
          <w:szCs w:val="20"/>
        </w:rPr>
      </w:pPr>
      <w:r w:rsidRPr="008B25DF">
        <w:rPr>
          <w:rFonts w:cs="Arial"/>
          <w:szCs w:val="20"/>
        </w:rPr>
        <w:t xml:space="preserve">Accordingly, the </w:t>
      </w:r>
      <w:r w:rsidRPr="008B25DF">
        <w:rPr>
          <w:rFonts w:cs="Arial"/>
          <w:szCs w:val="20"/>
          <w:highlight w:val="yellow"/>
        </w:rPr>
        <w:t>&lt;&lt;traditional, ECI, DC, competitive alliance, pure alliance&gt;&gt;</w:t>
      </w:r>
      <w:r w:rsidRPr="008B25DF">
        <w:rPr>
          <w:rFonts w:cs="Arial"/>
          <w:szCs w:val="20"/>
        </w:rPr>
        <w:t xml:space="preserve"> delivery model is the preferred approach for this project.</w:t>
      </w:r>
    </w:p>
    <w:p w14:paraId="6F7B9895" w14:textId="77777777" w:rsidR="00DB5307" w:rsidRPr="008B25DF" w:rsidRDefault="00DB5307" w:rsidP="004C4C0F">
      <w:pPr>
        <w:pStyle w:val="Heading2"/>
      </w:pPr>
      <w:r w:rsidRPr="008B25DF">
        <w:t>Professional services</w:t>
      </w:r>
    </w:p>
    <w:p w14:paraId="73998FA0" w14:textId="77777777" w:rsidR="00DB5307" w:rsidRPr="008B25DF" w:rsidRDefault="00DB5307" w:rsidP="002D7BA0">
      <w:pPr>
        <w:tabs>
          <w:tab w:val="left" w:pos="720"/>
        </w:tabs>
        <w:snapToGrid w:val="0"/>
        <w:spacing w:line="260" w:lineRule="atLeast"/>
        <w:rPr>
          <w:rFonts w:cs="Times New Roman"/>
          <w:szCs w:val="20"/>
          <w:highlight w:val="yellow"/>
        </w:rPr>
      </w:pPr>
      <w:r w:rsidRPr="008B25DF">
        <w:rPr>
          <w:szCs w:val="20"/>
          <w:highlight w:val="yellow"/>
        </w:rPr>
        <w:t>&lt;&lt; Describe the proposed supplier selection method, i.e. the approach proposed to the tender of the pre-implementation phase is .... &gt;&gt;</w:t>
      </w:r>
    </w:p>
    <w:p w14:paraId="6527E4EF" w14:textId="77777777" w:rsidR="00DB5307" w:rsidRPr="008B25DF" w:rsidRDefault="00DB5307" w:rsidP="002D7BA0">
      <w:pPr>
        <w:tabs>
          <w:tab w:val="left" w:pos="720"/>
        </w:tabs>
        <w:snapToGrid w:val="0"/>
        <w:spacing w:line="260" w:lineRule="atLeast"/>
        <w:rPr>
          <w:szCs w:val="20"/>
          <w:highlight w:val="yellow"/>
        </w:rPr>
      </w:pPr>
      <w:r w:rsidRPr="008B25DF">
        <w:rPr>
          <w:szCs w:val="20"/>
          <w:highlight w:val="yellow"/>
        </w:rPr>
        <w:t>&lt;&lt;Examples of details required are:</w:t>
      </w:r>
    </w:p>
    <w:p w14:paraId="46868FBF" w14:textId="77777777" w:rsidR="00DB5307" w:rsidRPr="00AE3AE0" w:rsidRDefault="00DB5307" w:rsidP="002D7BA0">
      <w:pPr>
        <w:pStyle w:val="ListParagraph"/>
        <w:numPr>
          <w:ilvl w:val="0"/>
          <w:numId w:val="24"/>
        </w:numPr>
        <w:ind w:left="360"/>
        <w:rPr>
          <w:highlight w:val="yellow"/>
        </w:rPr>
      </w:pPr>
      <w:r w:rsidRPr="00AE3AE0">
        <w:rPr>
          <w:highlight w:val="yellow"/>
        </w:rPr>
        <w:t>non-price attribute weightings</w:t>
      </w:r>
    </w:p>
    <w:p w14:paraId="334573F2" w14:textId="77777777" w:rsidR="00DB5307" w:rsidRPr="00AE3AE0" w:rsidRDefault="00DB5307" w:rsidP="002D7BA0">
      <w:pPr>
        <w:pStyle w:val="ListParagraph"/>
        <w:numPr>
          <w:ilvl w:val="0"/>
          <w:numId w:val="24"/>
        </w:numPr>
        <w:ind w:left="360"/>
        <w:rPr>
          <w:highlight w:val="yellow"/>
        </w:rPr>
      </w:pPr>
      <w:r w:rsidRPr="00AE3AE0">
        <w:rPr>
          <w:highlight w:val="yellow"/>
        </w:rPr>
        <w:t>TET members including nominated qualified evaluator</w:t>
      </w:r>
    </w:p>
    <w:p w14:paraId="0A7DD16D" w14:textId="77777777" w:rsidR="00DB5307" w:rsidRPr="00AE3AE0" w:rsidRDefault="00DB5307" w:rsidP="002D7BA0">
      <w:pPr>
        <w:pStyle w:val="ListParagraph"/>
        <w:numPr>
          <w:ilvl w:val="0"/>
          <w:numId w:val="24"/>
        </w:numPr>
        <w:ind w:left="360"/>
        <w:rPr>
          <w:highlight w:val="yellow"/>
        </w:rPr>
      </w:pPr>
      <w:r w:rsidRPr="00AE3AE0">
        <w:rPr>
          <w:highlight w:val="yellow"/>
        </w:rPr>
        <w:t>timeframes</w:t>
      </w:r>
    </w:p>
    <w:p w14:paraId="17D7F327" w14:textId="77777777" w:rsidR="00DB5307" w:rsidRPr="00AE3AE0" w:rsidRDefault="00DB5307" w:rsidP="002D7BA0">
      <w:pPr>
        <w:pStyle w:val="ListParagraph"/>
        <w:numPr>
          <w:ilvl w:val="0"/>
          <w:numId w:val="24"/>
        </w:numPr>
        <w:ind w:left="360"/>
        <w:rPr>
          <w:highlight w:val="yellow"/>
        </w:rPr>
      </w:pPr>
      <w:r w:rsidRPr="00AE3AE0">
        <w:rPr>
          <w:highlight w:val="yellow"/>
        </w:rPr>
        <w:t>current estimate, etc.</w:t>
      </w:r>
    </w:p>
    <w:p w14:paraId="5297ED9E" w14:textId="77777777" w:rsidR="00DB5307" w:rsidRPr="008B25DF" w:rsidRDefault="00DB5307" w:rsidP="004C4C0F">
      <w:pPr>
        <w:pStyle w:val="Heading2"/>
      </w:pPr>
      <w:r w:rsidRPr="008B25DF">
        <w:t>Physical works</w:t>
      </w:r>
    </w:p>
    <w:p w14:paraId="2983A70F" w14:textId="4BB35444" w:rsidR="00DB5307" w:rsidRPr="008B25DF" w:rsidRDefault="00DB5307" w:rsidP="002D7BA0">
      <w:pPr>
        <w:tabs>
          <w:tab w:val="left" w:pos="720"/>
        </w:tabs>
        <w:snapToGrid w:val="0"/>
        <w:spacing w:line="260" w:lineRule="atLeast"/>
        <w:rPr>
          <w:rFonts w:cs="Times New Roman"/>
          <w:szCs w:val="20"/>
          <w:highlight w:val="yellow"/>
        </w:rPr>
      </w:pPr>
      <w:r w:rsidRPr="008B25DF">
        <w:rPr>
          <w:szCs w:val="20"/>
          <w:highlight w:val="yellow"/>
        </w:rPr>
        <w:t xml:space="preserve">&lt;&lt; Describe the proposed procurement process, i.e. the approach proposed to the tender of the construction works is ….&gt;&gt; &lt;&lt; State outline/high level information on the process, i.e. timeframes. This information will have detail added and be confirmed in the </w:t>
      </w:r>
      <w:r w:rsidR="00781C88">
        <w:rPr>
          <w:szCs w:val="20"/>
          <w:highlight w:val="yellow"/>
        </w:rPr>
        <w:t>Stage</w:t>
      </w:r>
      <w:r w:rsidRPr="008B25DF">
        <w:rPr>
          <w:szCs w:val="20"/>
          <w:highlight w:val="yellow"/>
        </w:rPr>
        <w:t xml:space="preserve"> 2 </w:t>
      </w:r>
      <w:r w:rsidR="003E2E6B">
        <w:rPr>
          <w:szCs w:val="20"/>
          <w:highlight w:val="yellow"/>
        </w:rPr>
        <w:t xml:space="preserve">procurement </w:t>
      </w:r>
      <w:r w:rsidR="00324C46">
        <w:rPr>
          <w:szCs w:val="20"/>
          <w:highlight w:val="yellow"/>
        </w:rPr>
        <w:t>plan</w:t>
      </w:r>
      <w:r w:rsidRPr="008B25DF">
        <w:rPr>
          <w:szCs w:val="20"/>
          <w:highlight w:val="yellow"/>
        </w:rPr>
        <w:t>&gt;&gt;</w:t>
      </w:r>
    </w:p>
    <w:tbl>
      <w:tblPr>
        <w:tblStyle w:val="TableGrid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60"/>
        <w:gridCol w:w="992"/>
        <w:gridCol w:w="2410"/>
        <w:gridCol w:w="850"/>
        <w:gridCol w:w="1843"/>
      </w:tblGrid>
      <w:tr w:rsidR="00DB5307" w:rsidRPr="008B25DF" w14:paraId="72419D69" w14:textId="77777777" w:rsidTr="004C4C0F">
        <w:tc>
          <w:tcPr>
            <w:tcW w:w="1276" w:type="dxa"/>
          </w:tcPr>
          <w:p w14:paraId="3AACAA10" w14:textId="77777777" w:rsidR="00DB5307" w:rsidRPr="008B25DF" w:rsidRDefault="00DB5307" w:rsidP="00AE3AE0">
            <w:pPr>
              <w:keepNext/>
              <w:spacing w:before="120" w:after="120" w:line="276" w:lineRule="auto"/>
            </w:pPr>
            <w:r w:rsidRPr="008B25DF">
              <w:lastRenderedPageBreak/>
              <w:t>Prepared by:</w:t>
            </w:r>
          </w:p>
        </w:tc>
        <w:tc>
          <w:tcPr>
            <w:tcW w:w="2660" w:type="dxa"/>
            <w:tcBorders>
              <w:bottom w:val="single" w:sz="4" w:space="0" w:color="C0C0C0"/>
            </w:tcBorders>
          </w:tcPr>
          <w:p w14:paraId="0D0509D2" w14:textId="77777777" w:rsidR="00DB5307" w:rsidRPr="008B25DF" w:rsidRDefault="00DB5307" w:rsidP="00AE3AE0">
            <w:pPr>
              <w:keepNext/>
              <w:spacing w:before="120" w:after="120" w:line="276" w:lineRule="auto"/>
            </w:pPr>
          </w:p>
        </w:tc>
        <w:tc>
          <w:tcPr>
            <w:tcW w:w="992" w:type="dxa"/>
            <w:vAlign w:val="bottom"/>
          </w:tcPr>
          <w:p w14:paraId="1556873F" w14:textId="77777777" w:rsidR="00DB5307" w:rsidRPr="008B25DF" w:rsidRDefault="00DB5307" w:rsidP="00AE3AE0">
            <w:pPr>
              <w:keepNext/>
              <w:spacing w:before="120" w:after="120" w:line="276" w:lineRule="auto"/>
              <w:jc w:val="right"/>
            </w:pPr>
            <w:r w:rsidRPr="008B25DF">
              <w:t>Signed</w:t>
            </w:r>
          </w:p>
        </w:tc>
        <w:tc>
          <w:tcPr>
            <w:tcW w:w="2410" w:type="dxa"/>
            <w:tcBorders>
              <w:bottom w:val="single" w:sz="4" w:space="0" w:color="C0C0C0"/>
            </w:tcBorders>
            <w:vAlign w:val="bottom"/>
          </w:tcPr>
          <w:p w14:paraId="338F3A14" w14:textId="77777777" w:rsidR="00DB5307" w:rsidRPr="008B25DF" w:rsidRDefault="00DB5307" w:rsidP="00AE3AE0">
            <w:pPr>
              <w:keepNext/>
              <w:spacing w:before="120" w:after="120" w:line="276" w:lineRule="auto"/>
            </w:pPr>
          </w:p>
        </w:tc>
        <w:tc>
          <w:tcPr>
            <w:tcW w:w="850" w:type="dxa"/>
            <w:vAlign w:val="bottom"/>
          </w:tcPr>
          <w:p w14:paraId="18B3E1F7" w14:textId="77777777" w:rsidR="00DB5307" w:rsidRPr="008B25DF" w:rsidRDefault="00DB5307" w:rsidP="00AE3AE0">
            <w:pPr>
              <w:keepNext/>
              <w:spacing w:before="120" w:after="120" w:line="276" w:lineRule="auto"/>
              <w:jc w:val="right"/>
            </w:pPr>
            <w:r w:rsidRPr="008B25DF">
              <w:t>Date</w:t>
            </w:r>
          </w:p>
        </w:tc>
        <w:tc>
          <w:tcPr>
            <w:tcW w:w="1843" w:type="dxa"/>
            <w:tcBorders>
              <w:bottom w:val="single" w:sz="4" w:space="0" w:color="C0C0C0"/>
            </w:tcBorders>
            <w:vAlign w:val="bottom"/>
          </w:tcPr>
          <w:p w14:paraId="47F08C42" w14:textId="77777777" w:rsidR="00DB5307" w:rsidRPr="008B25DF" w:rsidRDefault="00DB5307" w:rsidP="00AE3AE0">
            <w:pPr>
              <w:keepNext/>
              <w:spacing w:before="120" w:after="120" w:line="276" w:lineRule="auto"/>
            </w:pPr>
          </w:p>
        </w:tc>
      </w:tr>
      <w:tr w:rsidR="00DB5307" w:rsidRPr="008B25DF" w14:paraId="07115561" w14:textId="77777777" w:rsidTr="004C4C0F">
        <w:tc>
          <w:tcPr>
            <w:tcW w:w="1276" w:type="dxa"/>
          </w:tcPr>
          <w:p w14:paraId="5A40B264" w14:textId="77777777" w:rsidR="00DB5307" w:rsidRPr="008B25DF" w:rsidRDefault="00DB5307" w:rsidP="00AE3AE0">
            <w:pPr>
              <w:keepNext/>
              <w:spacing w:before="120" w:after="120" w:line="276" w:lineRule="auto"/>
            </w:pPr>
          </w:p>
        </w:tc>
        <w:tc>
          <w:tcPr>
            <w:tcW w:w="2660" w:type="dxa"/>
            <w:tcBorders>
              <w:top w:val="single" w:sz="4" w:space="0" w:color="C0C0C0"/>
            </w:tcBorders>
          </w:tcPr>
          <w:p w14:paraId="7F0879DF" w14:textId="77777777" w:rsidR="00DB5307" w:rsidRPr="008B25DF" w:rsidRDefault="00DB5307" w:rsidP="00AE3AE0">
            <w:pPr>
              <w:keepNext/>
              <w:spacing w:line="276" w:lineRule="auto"/>
            </w:pPr>
            <w:r w:rsidRPr="008B25DF">
              <w:rPr>
                <w:rFonts w:eastAsia="Calibri" w:cs="Arial"/>
                <w:szCs w:val="20"/>
                <w:highlight w:val="yellow"/>
              </w:rPr>
              <w:t>&lt;&lt; Project Manager&gt;&gt;</w:t>
            </w:r>
            <w:r w:rsidRPr="008B25DF">
              <w:rPr>
                <w:rFonts w:eastAsia="Calibri" w:cs="Arial"/>
                <w:szCs w:val="20"/>
              </w:rPr>
              <w:t xml:space="preserve">  </w:t>
            </w:r>
          </w:p>
        </w:tc>
        <w:tc>
          <w:tcPr>
            <w:tcW w:w="992" w:type="dxa"/>
          </w:tcPr>
          <w:p w14:paraId="03384E29" w14:textId="77777777" w:rsidR="00DB5307" w:rsidRPr="008B25DF" w:rsidRDefault="00DB5307" w:rsidP="00AE3AE0">
            <w:pPr>
              <w:keepNext/>
              <w:spacing w:before="120" w:after="120" w:line="276" w:lineRule="auto"/>
            </w:pPr>
          </w:p>
        </w:tc>
        <w:tc>
          <w:tcPr>
            <w:tcW w:w="2410" w:type="dxa"/>
            <w:tcBorders>
              <w:top w:val="single" w:sz="4" w:space="0" w:color="C0C0C0"/>
            </w:tcBorders>
          </w:tcPr>
          <w:p w14:paraId="221B2EF9" w14:textId="77777777" w:rsidR="00DB5307" w:rsidRPr="008B25DF" w:rsidRDefault="00DB5307" w:rsidP="00AE3AE0">
            <w:pPr>
              <w:keepNext/>
              <w:spacing w:before="120" w:after="120" w:line="276" w:lineRule="auto"/>
            </w:pPr>
          </w:p>
        </w:tc>
        <w:tc>
          <w:tcPr>
            <w:tcW w:w="850" w:type="dxa"/>
          </w:tcPr>
          <w:p w14:paraId="07E5C328" w14:textId="77777777" w:rsidR="00DB5307" w:rsidRPr="008B25DF" w:rsidRDefault="00DB5307" w:rsidP="00AE3AE0">
            <w:pPr>
              <w:keepNext/>
              <w:spacing w:before="120" w:after="120" w:line="276" w:lineRule="auto"/>
            </w:pPr>
          </w:p>
        </w:tc>
        <w:tc>
          <w:tcPr>
            <w:tcW w:w="1843" w:type="dxa"/>
            <w:tcBorders>
              <w:top w:val="single" w:sz="4" w:space="0" w:color="C0C0C0"/>
            </w:tcBorders>
          </w:tcPr>
          <w:p w14:paraId="147C7E98" w14:textId="77777777" w:rsidR="00DB5307" w:rsidRPr="008B25DF" w:rsidRDefault="00DB5307" w:rsidP="00AE3AE0">
            <w:pPr>
              <w:keepNext/>
              <w:spacing w:before="120" w:after="120" w:line="276" w:lineRule="auto"/>
            </w:pPr>
          </w:p>
        </w:tc>
      </w:tr>
      <w:tr w:rsidR="00DB5307" w:rsidRPr="008B25DF" w14:paraId="0937D8CA" w14:textId="77777777" w:rsidTr="004C4C0F">
        <w:tc>
          <w:tcPr>
            <w:tcW w:w="1276" w:type="dxa"/>
          </w:tcPr>
          <w:p w14:paraId="3F051AA4" w14:textId="77777777" w:rsidR="00DB5307" w:rsidRPr="008B25DF" w:rsidRDefault="00DB5307" w:rsidP="00AE3AE0">
            <w:pPr>
              <w:keepNext/>
              <w:spacing w:before="120" w:after="120" w:line="276" w:lineRule="auto"/>
            </w:pPr>
            <w:r w:rsidRPr="008B25DF">
              <w:t>Endorsed:</w:t>
            </w:r>
          </w:p>
        </w:tc>
        <w:tc>
          <w:tcPr>
            <w:tcW w:w="2660" w:type="dxa"/>
            <w:tcBorders>
              <w:bottom w:val="single" w:sz="4" w:space="0" w:color="C0C0C0"/>
            </w:tcBorders>
          </w:tcPr>
          <w:p w14:paraId="41DBEC74" w14:textId="77777777" w:rsidR="00DB5307" w:rsidRPr="008B25DF" w:rsidRDefault="00DB5307" w:rsidP="00AE3AE0">
            <w:pPr>
              <w:keepNext/>
              <w:spacing w:before="120" w:after="120" w:line="276" w:lineRule="auto"/>
            </w:pPr>
          </w:p>
        </w:tc>
        <w:tc>
          <w:tcPr>
            <w:tcW w:w="992" w:type="dxa"/>
            <w:vAlign w:val="bottom"/>
          </w:tcPr>
          <w:p w14:paraId="2D0B070B" w14:textId="77777777" w:rsidR="00DB5307" w:rsidRPr="008B25DF" w:rsidRDefault="00DB5307" w:rsidP="00AE3AE0">
            <w:pPr>
              <w:keepNext/>
              <w:spacing w:before="120" w:after="120" w:line="276" w:lineRule="auto"/>
              <w:jc w:val="right"/>
            </w:pPr>
            <w:r w:rsidRPr="008B25DF">
              <w:t>Signed</w:t>
            </w:r>
          </w:p>
        </w:tc>
        <w:tc>
          <w:tcPr>
            <w:tcW w:w="2410" w:type="dxa"/>
            <w:tcBorders>
              <w:bottom w:val="single" w:sz="4" w:space="0" w:color="C0C0C0"/>
            </w:tcBorders>
            <w:vAlign w:val="bottom"/>
          </w:tcPr>
          <w:p w14:paraId="1B19EFDD" w14:textId="77777777" w:rsidR="00DB5307" w:rsidRPr="008B25DF" w:rsidRDefault="00DB5307" w:rsidP="00AE3AE0">
            <w:pPr>
              <w:keepNext/>
              <w:spacing w:before="120" w:after="120" w:line="276" w:lineRule="auto"/>
            </w:pPr>
          </w:p>
        </w:tc>
        <w:tc>
          <w:tcPr>
            <w:tcW w:w="850" w:type="dxa"/>
            <w:vAlign w:val="bottom"/>
          </w:tcPr>
          <w:p w14:paraId="4D13B3F9" w14:textId="77777777" w:rsidR="00DB5307" w:rsidRPr="008B25DF" w:rsidRDefault="00DB5307" w:rsidP="00AE3AE0">
            <w:pPr>
              <w:keepNext/>
              <w:spacing w:before="120" w:after="120" w:line="276" w:lineRule="auto"/>
              <w:jc w:val="right"/>
            </w:pPr>
            <w:r w:rsidRPr="008B25DF">
              <w:t>Date</w:t>
            </w:r>
          </w:p>
        </w:tc>
        <w:tc>
          <w:tcPr>
            <w:tcW w:w="1843" w:type="dxa"/>
            <w:tcBorders>
              <w:bottom w:val="single" w:sz="4" w:space="0" w:color="C0C0C0"/>
            </w:tcBorders>
            <w:vAlign w:val="bottom"/>
          </w:tcPr>
          <w:p w14:paraId="07EC2443" w14:textId="77777777" w:rsidR="00DB5307" w:rsidRPr="008B25DF" w:rsidRDefault="00DB5307" w:rsidP="00AE3AE0">
            <w:pPr>
              <w:keepNext/>
              <w:spacing w:before="120" w:after="120" w:line="276" w:lineRule="auto"/>
            </w:pPr>
          </w:p>
        </w:tc>
      </w:tr>
      <w:tr w:rsidR="00DB5307" w:rsidRPr="008B25DF" w14:paraId="7EC20499" w14:textId="77777777" w:rsidTr="004C4C0F">
        <w:tc>
          <w:tcPr>
            <w:tcW w:w="1276" w:type="dxa"/>
          </w:tcPr>
          <w:p w14:paraId="3E846492" w14:textId="77777777" w:rsidR="00DB5307" w:rsidRPr="008B25DF" w:rsidRDefault="00DB5307" w:rsidP="00AE3AE0">
            <w:pPr>
              <w:keepNext/>
            </w:pPr>
          </w:p>
        </w:tc>
        <w:tc>
          <w:tcPr>
            <w:tcW w:w="2660" w:type="dxa"/>
            <w:tcBorders>
              <w:top w:val="single" w:sz="4" w:space="0" w:color="C0C0C0"/>
            </w:tcBorders>
          </w:tcPr>
          <w:p w14:paraId="78130ECD" w14:textId="77777777" w:rsidR="00DB5307" w:rsidRPr="008B25DF" w:rsidRDefault="00DB5307" w:rsidP="00AE3AE0">
            <w:pPr>
              <w:keepNext/>
            </w:pPr>
            <w:r w:rsidRPr="008B25DF">
              <w:rPr>
                <w:rFonts w:eastAsia="Calibri" w:cs="Arial"/>
                <w:szCs w:val="20"/>
                <w:highlight w:val="yellow"/>
              </w:rPr>
              <w:t xml:space="preserve">&lt;&lt; </w:t>
            </w:r>
            <w:r>
              <w:rPr>
                <w:rFonts w:eastAsia="Calibri" w:cs="Arial"/>
                <w:szCs w:val="20"/>
                <w:highlight w:val="yellow"/>
              </w:rPr>
              <w:t xml:space="preserve">Senior </w:t>
            </w:r>
            <w:r w:rsidRPr="008B25DF">
              <w:rPr>
                <w:rFonts w:eastAsia="Calibri" w:cs="Arial"/>
                <w:szCs w:val="20"/>
                <w:highlight w:val="yellow"/>
              </w:rPr>
              <w:t>Manager&gt;&gt;</w:t>
            </w:r>
          </w:p>
        </w:tc>
        <w:tc>
          <w:tcPr>
            <w:tcW w:w="992" w:type="dxa"/>
          </w:tcPr>
          <w:p w14:paraId="0E2BBF8B" w14:textId="77777777" w:rsidR="00DB5307" w:rsidRPr="008B25DF" w:rsidRDefault="00DB5307" w:rsidP="00AE3AE0">
            <w:pPr>
              <w:keepNext/>
            </w:pPr>
          </w:p>
        </w:tc>
        <w:tc>
          <w:tcPr>
            <w:tcW w:w="2410" w:type="dxa"/>
            <w:tcBorders>
              <w:top w:val="single" w:sz="4" w:space="0" w:color="C0C0C0"/>
            </w:tcBorders>
          </w:tcPr>
          <w:p w14:paraId="3F5FEEB8" w14:textId="77777777" w:rsidR="00DB5307" w:rsidRPr="008B25DF" w:rsidRDefault="00DB5307" w:rsidP="00AE3AE0">
            <w:pPr>
              <w:keepNext/>
            </w:pPr>
          </w:p>
        </w:tc>
        <w:tc>
          <w:tcPr>
            <w:tcW w:w="850" w:type="dxa"/>
          </w:tcPr>
          <w:p w14:paraId="5E55DDA9" w14:textId="77777777" w:rsidR="00DB5307" w:rsidRPr="008B25DF" w:rsidRDefault="00DB5307" w:rsidP="00AE3AE0">
            <w:pPr>
              <w:keepNext/>
            </w:pPr>
          </w:p>
        </w:tc>
        <w:tc>
          <w:tcPr>
            <w:tcW w:w="1843" w:type="dxa"/>
            <w:tcBorders>
              <w:top w:val="single" w:sz="4" w:space="0" w:color="C0C0C0"/>
            </w:tcBorders>
          </w:tcPr>
          <w:p w14:paraId="1F258DEA" w14:textId="77777777" w:rsidR="00DB5307" w:rsidRPr="008B25DF" w:rsidRDefault="00DB5307" w:rsidP="00AE3AE0">
            <w:pPr>
              <w:keepNext/>
            </w:pPr>
          </w:p>
        </w:tc>
      </w:tr>
      <w:tr w:rsidR="00DB5307" w:rsidRPr="008B25DF" w14:paraId="60EB828C" w14:textId="77777777" w:rsidTr="004C4C0F">
        <w:tc>
          <w:tcPr>
            <w:tcW w:w="1276" w:type="dxa"/>
          </w:tcPr>
          <w:p w14:paraId="7437636E" w14:textId="77777777" w:rsidR="00DB5307" w:rsidRPr="008B25DF" w:rsidRDefault="00DB5307" w:rsidP="00AE3AE0">
            <w:pPr>
              <w:keepNext/>
              <w:spacing w:before="120" w:after="120" w:line="276" w:lineRule="auto"/>
            </w:pPr>
            <w:r w:rsidRPr="008B25DF">
              <w:t>Agreed:</w:t>
            </w:r>
          </w:p>
        </w:tc>
        <w:tc>
          <w:tcPr>
            <w:tcW w:w="2660" w:type="dxa"/>
            <w:tcBorders>
              <w:bottom w:val="single" w:sz="4" w:space="0" w:color="C0C0C0"/>
            </w:tcBorders>
          </w:tcPr>
          <w:p w14:paraId="0BEE6AED" w14:textId="77777777" w:rsidR="00DB5307" w:rsidRPr="008B25DF" w:rsidRDefault="00DB5307" w:rsidP="00AE3AE0">
            <w:pPr>
              <w:keepNext/>
              <w:spacing w:before="120" w:after="120" w:line="276" w:lineRule="auto"/>
            </w:pPr>
          </w:p>
        </w:tc>
        <w:tc>
          <w:tcPr>
            <w:tcW w:w="992" w:type="dxa"/>
            <w:vAlign w:val="bottom"/>
          </w:tcPr>
          <w:p w14:paraId="5488B23B" w14:textId="77777777" w:rsidR="00DB5307" w:rsidRPr="008B25DF" w:rsidRDefault="00DB5307" w:rsidP="00AE3AE0">
            <w:pPr>
              <w:keepNext/>
              <w:spacing w:before="120" w:after="120" w:line="276" w:lineRule="auto"/>
              <w:jc w:val="right"/>
            </w:pPr>
            <w:r w:rsidRPr="008B25DF">
              <w:t>Signed</w:t>
            </w:r>
          </w:p>
        </w:tc>
        <w:tc>
          <w:tcPr>
            <w:tcW w:w="2410" w:type="dxa"/>
            <w:tcBorders>
              <w:bottom w:val="single" w:sz="4" w:space="0" w:color="C0C0C0"/>
            </w:tcBorders>
            <w:vAlign w:val="bottom"/>
          </w:tcPr>
          <w:p w14:paraId="1B2A5AC0" w14:textId="77777777" w:rsidR="00DB5307" w:rsidRPr="008B25DF" w:rsidRDefault="00DB5307" w:rsidP="00AE3AE0">
            <w:pPr>
              <w:keepNext/>
              <w:spacing w:before="120" w:after="120" w:line="276" w:lineRule="auto"/>
            </w:pPr>
          </w:p>
        </w:tc>
        <w:tc>
          <w:tcPr>
            <w:tcW w:w="850" w:type="dxa"/>
            <w:vAlign w:val="bottom"/>
          </w:tcPr>
          <w:p w14:paraId="42E83F02" w14:textId="77777777" w:rsidR="00DB5307" w:rsidRPr="008B25DF" w:rsidRDefault="00DB5307" w:rsidP="00AE3AE0">
            <w:pPr>
              <w:keepNext/>
              <w:spacing w:before="120" w:after="120" w:line="276" w:lineRule="auto"/>
              <w:jc w:val="right"/>
            </w:pPr>
            <w:r w:rsidRPr="008B25DF">
              <w:t>Date</w:t>
            </w:r>
          </w:p>
        </w:tc>
        <w:tc>
          <w:tcPr>
            <w:tcW w:w="1843" w:type="dxa"/>
            <w:tcBorders>
              <w:bottom w:val="single" w:sz="4" w:space="0" w:color="C0C0C0"/>
            </w:tcBorders>
            <w:vAlign w:val="bottom"/>
          </w:tcPr>
          <w:p w14:paraId="62C5FF99" w14:textId="77777777" w:rsidR="00DB5307" w:rsidRPr="008B25DF" w:rsidRDefault="00DB5307" w:rsidP="00AE3AE0">
            <w:pPr>
              <w:keepNext/>
              <w:spacing w:before="120" w:after="120" w:line="276" w:lineRule="auto"/>
            </w:pPr>
          </w:p>
        </w:tc>
      </w:tr>
      <w:tr w:rsidR="00324C46" w:rsidRPr="008B25DF" w14:paraId="656D1DA6" w14:textId="77777777" w:rsidTr="004C4C0F">
        <w:tc>
          <w:tcPr>
            <w:tcW w:w="1276" w:type="dxa"/>
          </w:tcPr>
          <w:p w14:paraId="45FC1943" w14:textId="77777777" w:rsidR="00324C46" w:rsidRPr="008B25DF" w:rsidRDefault="00324C46" w:rsidP="00324C46"/>
        </w:tc>
        <w:tc>
          <w:tcPr>
            <w:tcW w:w="2660" w:type="dxa"/>
            <w:tcBorders>
              <w:top w:val="single" w:sz="4" w:space="0" w:color="C0C0C0"/>
            </w:tcBorders>
          </w:tcPr>
          <w:p w14:paraId="73620876" w14:textId="77777777" w:rsidR="00324C46" w:rsidRDefault="00324C46" w:rsidP="00324C46">
            <w:r w:rsidRPr="0029766E">
              <w:rPr>
                <w:rFonts w:eastAsia="Calibri" w:cs="Arial"/>
                <w:szCs w:val="20"/>
                <w:highlight w:val="yellow"/>
              </w:rPr>
              <w:t>&lt;&lt;</w:t>
            </w:r>
            <w:r>
              <w:rPr>
                <w:rFonts w:eastAsia="Calibri" w:cs="Arial"/>
                <w:szCs w:val="20"/>
                <w:highlight w:val="yellow"/>
              </w:rPr>
              <w:t>Senior Manager OPPI / Senior</w:t>
            </w:r>
            <w:r w:rsidRPr="0029766E">
              <w:rPr>
                <w:rFonts w:eastAsia="Calibri" w:cs="Arial"/>
                <w:szCs w:val="20"/>
                <w:highlight w:val="yellow"/>
              </w:rPr>
              <w:t xml:space="preserve"> Manager</w:t>
            </w:r>
            <w:r>
              <w:rPr>
                <w:rFonts w:eastAsia="Calibri" w:cs="Arial"/>
                <w:szCs w:val="20"/>
                <w:highlight w:val="yellow"/>
              </w:rPr>
              <w:t xml:space="preserve"> OPPP </w:t>
            </w:r>
            <w:r w:rsidR="003E2E6B">
              <w:rPr>
                <w:rFonts w:eastAsia="Calibri" w:cs="Arial"/>
                <w:szCs w:val="20"/>
                <w:highlight w:val="yellow"/>
              </w:rPr>
              <w:t xml:space="preserve">/ CFO / Board </w:t>
            </w:r>
            <w:r w:rsidRPr="0029766E">
              <w:rPr>
                <w:rFonts w:eastAsia="Calibri" w:cs="Arial"/>
                <w:szCs w:val="20"/>
                <w:highlight w:val="yellow"/>
              </w:rPr>
              <w:t>&gt;&gt;</w:t>
            </w:r>
          </w:p>
        </w:tc>
        <w:tc>
          <w:tcPr>
            <w:tcW w:w="992" w:type="dxa"/>
          </w:tcPr>
          <w:p w14:paraId="12EB9101" w14:textId="77777777" w:rsidR="00324C46" w:rsidRPr="008B25DF" w:rsidRDefault="00324C46" w:rsidP="00324C46"/>
        </w:tc>
        <w:tc>
          <w:tcPr>
            <w:tcW w:w="2410" w:type="dxa"/>
            <w:tcBorders>
              <w:top w:val="single" w:sz="4" w:space="0" w:color="C0C0C0"/>
            </w:tcBorders>
          </w:tcPr>
          <w:p w14:paraId="722689D5" w14:textId="77777777" w:rsidR="00324C46" w:rsidRPr="008B25DF" w:rsidRDefault="00324C46" w:rsidP="00324C46"/>
        </w:tc>
        <w:tc>
          <w:tcPr>
            <w:tcW w:w="850" w:type="dxa"/>
          </w:tcPr>
          <w:p w14:paraId="4B82B29B" w14:textId="77777777" w:rsidR="00324C46" w:rsidRPr="008B25DF" w:rsidRDefault="00324C46" w:rsidP="00324C46"/>
        </w:tc>
        <w:tc>
          <w:tcPr>
            <w:tcW w:w="1843" w:type="dxa"/>
            <w:tcBorders>
              <w:top w:val="single" w:sz="4" w:space="0" w:color="C0C0C0"/>
            </w:tcBorders>
          </w:tcPr>
          <w:p w14:paraId="700AB275" w14:textId="77777777" w:rsidR="00324C46" w:rsidRPr="008B25DF" w:rsidRDefault="00324C46" w:rsidP="00324C46"/>
        </w:tc>
      </w:tr>
    </w:tbl>
    <w:p w14:paraId="26175FEB" w14:textId="77777777" w:rsidR="00DB5307" w:rsidRPr="008B25DF" w:rsidRDefault="00DB5307" w:rsidP="004C4C0F">
      <w:pPr>
        <w:pStyle w:val="Heading3"/>
        <w:rPr>
          <w:rFonts w:eastAsia="Times New Roman"/>
          <w:lang w:val="en-GB" w:eastAsia="en-GB"/>
        </w:rPr>
      </w:pPr>
      <w:r w:rsidRPr="008B25DF">
        <w:rPr>
          <w:rFonts w:eastAsia="Times New Roman"/>
          <w:lang w:val="en-GB" w:eastAsia="en-GB"/>
        </w:rPr>
        <w:t>Generic information on delivery models should be adapted on a project specific basis</w:t>
      </w:r>
    </w:p>
    <w:p w14:paraId="69C78273" w14:textId="77777777" w:rsidR="00DB5307" w:rsidRPr="008B25DF" w:rsidRDefault="00DB5307" w:rsidP="004C4C0F">
      <w:pPr>
        <w:pStyle w:val="Heading4"/>
        <w:rPr>
          <w:rFonts w:eastAsia="Times New Roman"/>
          <w:lang w:val="en-GB" w:eastAsia="en-GB"/>
        </w:rPr>
      </w:pPr>
      <w:r w:rsidRPr="008B25DF">
        <w:rPr>
          <w:rFonts w:eastAsia="Times New Roman"/>
          <w:lang w:val="en-GB" w:eastAsia="en-GB"/>
        </w:rPr>
        <w:t>Traditional</w:t>
      </w:r>
    </w:p>
    <w:p w14:paraId="25E46BF1" w14:textId="77777777" w:rsidR="00DB5307" w:rsidRPr="008B25DF" w:rsidRDefault="00DB5307" w:rsidP="004C4C0F">
      <w:pPr>
        <w:pStyle w:val="ListBullet"/>
        <w:rPr>
          <w:lang w:val="en-GB" w:eastAsia="en-GB"/>
        </w:rPr>
      </w:pPr>
      <w:r w:rsidRPr="008B25DF">
        <w:rPr>
          <w:lang w:val="en-GB" w:eastAsia="en-GB"/>
        </w:rPr>
        <w:t xml:space="preserve">Scale – suitable for both small, medium and some </w:t>
      </w:r>
      <w:bookmarkStart w:id="3" w:name="_GoBack"/>
      <w:proofErr w:type="gramStart"/>
      <w:r w:rsidRPr="008B25DF">
        <w:rPr>
          <w:lang w:val="en-GB" w:eastAsia="en-GB"/>
        </w:rPr>
        <w:t>large</w:t>
      </w:r>
      <w:bookmarkEnd w:id="3"/>
      <w:r w:rsidRPr="008B25DF">
        <w:rPr>
          <w:lang w:val="en-GB" w:eastAsia="en-GB"/>
        </w:rPr>
        <w:t xml:space="preserve"> scale</w:t>
      </w:r>
      <w:proofErr w:type="gramEnd"/>
      <w:r w:rsidRPr="008B25DF">
        <w:rPr>
          <w:lang w:val="en-GB" w:eastAsia="en-GB"/>
        </w:rPr>
        <w:t xml:space="preserve"> projects.</w:t>
      </w:r>
    </w:p>
    <w:p w14:paraId="470DC12F" w14:textId="77777777" w:rsidR="00DB5307" w:rsidRPr="008B25DF" w:rsidRDefault="00DB5307" w:rsidP="004C4C0F">
      <w:pPr>
        <w:pStyle w:val="ListBullet"/>
        <w:rPr>
          <w:lang w:val="en-GB" w:eastAsia="en-GB"/>
        </w:rPr>
      </w:pPr>
      <w:r w:rsidRPr="008B25DF">
        <w:rPr>
          <w:lang w:val="en-GB" w:eastAsia="en-GB"/>
        </w:rPr>
        <w:t>Complexity/scope for innovation – little scope for innovation and not suitable for complex projects.</w:t>
      </w:r>
    </w:p>
    <w:p w14:paraId="75B91099" w14:textId="77777777" w:rsidR="00DB5307" w:rsidRPr="008B25DF" w:rsidRDefault="00DB5307" w:rsidP="004C4C0F">
      <w:pPr>
        <w:pStyle w:val="ListBullet"/>
        <w:rPr>
          <w:lang w:val="en-GB" w:eastAsia="en-GB"/>
        </w:rPr>
      </w:pPr>
      <w:r w:rsidRPr="008B25DF">
        <w:rPr>
          <w:lang w:val="en-GB" w:eastAsia="en-GB"/>
        </w:rPr>
        <w:t>Programme constraint – design must be fully completed prior to tendering resulting in a later construction start.</w:t>
      </w:r>
    </w:p>
    <w:p w14:paraId="57BEA655" w14:textId="77777777" w:rsidR="00DB5307" w:rsidRPr="008B25DF" w:rsidRDefault="00DB5307" w:rsidP="004C4C0F">
      <w:pPr>
        <w:pStyle w:val="ListBullet"/>
        <w:rPr>
          <w:lang w:val="en-GB" w:eastAsia="en-GB"/>
        </w:rPr>
      </w:pPr>
      <w:r w:rsidRPr="008B25DF">
        <w:rPr>
          <w:lang w:val="en-GB" w:eastAsia="en-GB"/>
        </w:rPr>
        <w:t>Market conditions – due to low risk transfer, well defined outputs and low tendering costs competitive tendering can be achieved.</w:t>
      </w:r>
    </w:p>
    <w:p w14:paraId="47FFE252" w14:textId="77777777" w:rsidR="00DB5307" w:rsidRPr="008B25DF" w:rsidRDefault="00DB5307" w:rsidP="004C4C0F">
      <w:pPr>
        <w:pStyle w:val="ListBullet"/>
        <w:rPr>
          <w:lang w:val="en-GB" w:eastAsia="en-GB"/>
        </w:rPr>
      </w:pPr>
      <w:r w:rsidRPr="008B25DF">
        <w:rPr>
          <w:lang w:val="en-GB" w:eastAsia="en-GB"/>
        </w:rPr>
        <w:t>Risk (quantum and type) – suitable for low to medium risk profiles.</w:t>
      </w:r>
    </w:p>
    <w:p w14:paraId="3E9A3CA8" w14:textId="77777777" w:rsidR="00DB5307" w:rsidRPr="008B25DF" w:rsidRDefault="00DB5307" w:rsidP="004C4C0F">
      <w:pPr>
        <w:pStyle w:val="ListBullet"/>
        <w:rPr>
          <w:lang w:val="en-GB" w:eastAsia="en-GB"/>
        </w:rPr>
      </w:pPr>
      <w:r w:rsidRPr="008B25DF">
        <w:rPr>
          <w:lang w:val="en-GB" w:eastAsia="en-GB"/>
        </w:rPr>
        <w:t xml:space="preserve">Stakeholders – the client has design control so retains </w:t>
      </w:r>
      <w:proofErr w:type="gramStart"/>
      <w:r w:rsidRPr="008B25DF">
        <w:rPr>
          <w:lang w:val="en-GB" w:eastAsia="en-GB"/>
        </w:rPr>
        <w:t>the majority of</w:t>
      </w:r>
      <w:proofErr w:type="gramEnd"/>
      <w:r w:rsidRPr="008B25DF">
        <w:rPr>
          <w:lang w:val="en-GB" w:eastAsia="en-GB"/>
        </w:rPr>
        <w:t xml:space="preserve"> responsibility.</w:t>
      </w:r>
    </w:p>
    <w:p w14:paraId="3E15BCD8" w14:textId="77777777" w:rsidR="00DB5307" w:rsidRPr="008B25DF" w:rsidRDefault="00DB5307" w:rsidP="004C4C0F">
      <w:pPr>
        <w:pStyle w:val="ListBullet"/>
        <w:rPr>
          <w:lang w:val="en-GB" w:eastAsia="en-GB"/>
        </w:rPr>
      </w:pPr>
      <w:r w:rsidRPr="008B25DF">
        <w:rPr>
          <w:lang w:val="en-GB" w:eastAsia="en-GB"/>
        </w:rPr>
        <w:t>Client involvement, control and capability – the client retains design control and site supervision.</w:t>
      </w:r>
    </w:p>
    <w:p w14:paraId="62FA6CB4" w14:textId="77777777" w:rsidR="00DB5307" w:rsidRPr="008B25DF" w:rsidRDefault="00DB5307" w:rsidP="004C4C0F">
      <w:pPr>
        <w:pStyle w:val="ListBullet"/>
        <w:rPr>
          <w:lang w:val="en-GB" w:eastAsia="en-GB"/>
        </w:rPr>
      </w:pPr>
      <w:r w:rsidRPr="008B25DF">
        <w:rPr>
          <w:lang w:val="en-GB" w:eastAsia="en-GB"/>
        </w:rPr>
        <w:t xml:space="preserve">Focus on non-cost success (e.g. social and environmental) – </w:t>
      </w:r>
      <w:r w:rsidR="004C4C0F" w:rsidRPr="004C4C0F">
        <w:rPr>
          <w:lang w:val="en-GB" w:eastAsia="en-GB"/>
        </w:rPr>
        <w:t xml:space="preserve">Waka Kotahi </w:t>
      </w:r>
      <w:r w:rsidRPr="008B25DF">
        <w:rPr>
          <w:lang w:val="en-GB" w:eastAsia="en-GB"/>
        </w:rPr>
        <w:t xml:space="preserve">retains control during the design process and </w:t>
      </w:r>
      <w:proofErr w:type="gramStart"/>
      <w:r w:rsidRPr="008B25DF">
        <w:rPr>
          <w:lang w:val="en-GB" w:eastAsia="en-GB"/>
        </w:rPr>
        <w:t>have the ability to</w:t>
      </w:r>
      <w:proofErr w:type="gramEnd"/>
      <w:r w:rsidRPr="008B25DF">
        <w:rPr>
          <w:lang w:val="en-GB" w:eastAsia="en-GB"/>
        </w:rPr>
        <w:t xml:space="preserve"> value non-cost success. </w:t>
      </w:r>
    </w:p>
    <w:p w14:paraId="3C29251C" w14:textId="77777777" w:rsidR="00DB5307" w:rsidRPr="008B25DF" w:rsidRDefault="00DB5307" w:rsidP="004C4C0F">
      <w:pPr>
        <w:pStyle w:val="ListBullet"/>
        <w:rPr>
          <w:lang w:val="en-GB" w:eastAsia="en-GB"/>
        </w:rPr>
      </w:pPr>
      <w:r w:rsidRPr="008B25DF">
        <w:rPr>
          <w:lang w:val="en-GB" w:eastAsia="en-GB"/>
        </w:rPr>
        <w:t xml:space="preserve">Tangible demonstration of value for money – due to the competitive tender process it is relatively straightforward to demonstrate value for money in the construction phase. </w:t>
      </w:r>
    </w:p>
    <w:p w14:paraId="11817658" w14:textId="77777777" w:rsidR="00DB5307" w:rsidRPr="008B25DF" w:rsidRDefault="00DB5307" w:rsidP="004C4C0F">
      <w:pPr>
        <w:pStyle w:val="ListBullet"/>
        <w:rPr>
          <w:lang w:val="en-GB" w:eastAsia="en-GB"/>
        </w:rPr>
      </w:pPr>
      <w:r w:rsidRPr="008B25DF">
        <w:rPr>
          <w:lang w:val="en-GB" w:eastAsia="en-GB"/>
        </w:rPr>
        <w:t>Flexibility to deal with change – little flexibility to deal with change. Variations can be costly.</w:t>
      </w:r>
    </w:p>
    <w:p w14:paraId="2EA5D946"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Advantages:</w:t>
      </w:r>
    </w:p>
    <w:p w14:paraId="2B8D1AF6"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Allows for strong competitive bidding.</w:t>
      </w:r>
    </w:p>
    <w:p w14:paraId="5F50229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design is completed prior to letting the PW contract so the outputs are known at the outset of the contract and the client has a high level of control.</w:t>
      </w:r>
    </w:p>
    <w:p w14:paraId="204CB34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Low procurement costs for both supplier and purchaser.</w:t>
      </w:r>
    </w:p>
    <w:p w14:paraId="3987A21C"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Disadvantages:</w:t>
      </w:r>
    </w:p>
    <w:p w14:paraId="2362DFCB"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In the event of a risk occurrence the client retains responsibility which may result with the construction phase having a higher cost.</w:t>
      </w:r>
    </w:p>
    <w:p w14:paraId="23303D7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Coordination between design/construction suppliers and stakeholders can be more </w:t>
      </w:r>
      <w:proofErr w:type="gramStart"/>
      <w:r w:rsidRPr="008B25DF">
        <w:rPr>
          <w:rFonts w:eastAsia="Times New Roman" w:cs="Arial"/>
          <w:bCs/>
          <w:szCs w:val="20"/>
          <w:lang w:val="en-GB" w:eastAsia="en-GB"/>
        </w:rPr>
        <w:t>complex, and</w:t>
      </w:r>
      <w:proofErr w:type="gramEnd"/>
      <w:r w:rsidRPr="008B25DF">
        <w:rPr>
          <w:rFonts w:eastAsia="Times New Roman" w:cs="Arial"/>
          <w:bCs/>
          <w:szCs w:val="20"/>
          <w:lang w:val="en-GB" w:eastAsia="en-GB"/>
        </w:rPr>
        <w:t xml:space="preserve"> increases </w:t>
      </w:r>
      <w:r w:rsidR="00FC6D32">
        <w:rPr>
          <w:rFonts w:eastAsia="Times New Roman" w:cs="Arial"/>
          <w:bCs/>
          <w:szCs w:val="20"/>
          <w:lang w:val="en-GB" w:eastAsia="en-GB"/>
        </w:rPr>
        <w:t>Waka Kotahi</w:t>
      </w:r>
      <w:r w:rsidRPr="008B25DF">
        <w:rPr>
          <w:rFonts w:eastAsia="Times New Roman" w:cs="Arial"/>
          <w:bCs/>
          <w:szCs w:val="20"/>
          <w:lang w:val="en-GB" w:eastAsia="en-GB"/>
        </w:rPr>
        <w:t>’s resources.</w:t>
      </w:r>
    </w:p>
    <w:p w14:paraId="0CB4074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Few incentives to optimise the design.</w:t>
      </w:r>
    </w:p>
    <w:p w14:paraId="718910D4"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Separation of contractor and designer limits innovation and build-ability.</w:t>
      </w:r>
    </w:p>
    <w:p w14:paraId="32577886"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Later site start date as detailed design must be complete before site works starts.</w:t>
      </w:r>
    </w:p>
    <w:p w14:paraId="60B7688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Design errors can be costly to the client.</w:t>
      </w:r>
    </w:p>
    <w:p w14:paraId="7732A1B7" w14:textId="77777777" w:rsidR="00DB5307" w:rsidRPr="008B25DF" w:rsidRDefault="00DB5307" w:rsidP="004C4C0F">
      <w:pPr>
        <w:pStyle w:val="Heading4"/>
        <w:rPr>
          <w:rFonts w:eastAsia="Times New Roman"/>
          <w:lang w:val="en-GB" w:eastAsia="en-GB"/>
        </w:rPr>
      </w:pPr>
      <w:r w:rsidRPr="008B25DF">
        <w:rPr>
          <w:rFonts w:eastAsia="Times New Roman"/>
          <w:lang w:val="en-GB" w:eastAsia="en-GB"/>
        </w:rPr>
        <w:lastRenderedPageBreak/>
        <w:t>D&amp;C</w:t>
      </w:r>
    </w:p>
    <w:p w14:paraId="6C72E808" w14:textId="77777777" w:rsidR="00DB5307" w:rsidRPr="008B25DF" w:rsidRDefault="00DB5307" w:rsidP="004C4C0F">
      <w:pPr>
        <w:pStyle w:val="ListBullet"/>
        <w:rPr>
          <w:lang w:val="en-GB" w:eastAsia="en-GB"/>
        </w:rPr>
      </w:pPr>
      <w:r w:rsidRPr="008B25DF">
        <w:rPr>
          <w:lang w:val="en-GB" w:eastAsia="en-GB"/>
        </w:rPr>
        <w:t>Scale – suitable for medium to large scale projects.</w:t>
      </w:r>
    </w:p>
    <w:p w14:paraId="0F3C732B" w14:textId="77777777" w:rsidR="00DB5307" w:rsidRPr="008B25DF" w:rsidRDefault="00DB5307" w:rsidP="004C4C0F">
      <w:pPr>
        <w:pStyle w:val="ListBullet"/>
        <w:rPr>
          <w:lang w:val="en-GB" w:eastAsia="en-GB"/>
        </w:rPr>
      </w:pPr>
      <w:r w:rsidRPr="008B25DF">
        <w:rPr>
          <w:lang w:val="en-GB" w:eastAsia="en-GB"/>
        </w:rPr>
        <w:t>Complexity/scope for innovation – lots of scope for innovation and suitable for complex projects.</w:t>
      </w:r>
    </w:p>
    <w:p w14:paraId="1D1B00A1" w14:textId="77777777" w:rsidR="00DB5307" w:rsidRPr="008B25DF" w:rsidRDefault="00DB5307" w:rsidP="004C4C0F">
      <w:pPr>
        <w:pStyle w:val="ListBullet"/>
        <w:rPr>
          <w:lang w:val="en-GB" w:eastAsia="en-GB"/>
        </w:rPr>
      </w:pPr>
      <w:r w:rsidRPr="008B25DF">
        <w:rPr>
          <w:lang w:val="en-GB" w:eastAsia="en-GB"/>
        </w:rPr>
        <w:t>Programme constraint – detailed design is completed after construction is started so earlier construction start/finish dates are possible.</w:t>
      </w:r>
    </w:p>
    <w:p w14:paraId="2FF3E952" w14:textId="77777777" w:rsidR="00DB5307" w:rsidRPr="008B25DF" w:rsidRDefault="00DB5307" w:rsidP="004C4C0F">
      <w:pPr>
        <w:pStyle w:val="ListBullet"/>
        <w:rPr>
          <w:lang w:val="en-GB" w:eastAsia="en-GB"/>
        </w:rPr>
      </w:pPr>
      <w:r w:rsidRPr="008B25DF">
        <w:rPr>
          <w:lang w:val="en-GB" w:eastAsia="en-GB"/>
        </w:rPr>
        <w:t>Market conditions – high-risk transfer and medium to high tendering costs limit the number of contractors/designers able to tender. This can mean fewer contractors awarded contracts.</w:t>
      </w:r>
    </w:p>
    <w:p w14:paraId="3B4AB78C" w14:textId="77777777" w:rsidR="00DB5307" w:rsidRPr="008B25DF" w:rsidRDefault="00DB5307" w:rsidP="004C4C0F">
      <w:pPr>
        <w:pStyle w:val="ListBullet"/>
        <w:rPr>
          <w:lang w:val="en-GB" w:eastAsia="en-GB"/>
        </w:rPr>
      </w:pPr>
      <w:r w:rsidRPr="008B25DF">
        <w:rPr>
          <w:lang w:val="en-GB" w:eastAsia="en-GB"/>
        </w:rPr>
        <w:t>Risk (quantum and type) – suitable for medium to high risk profiles</w:t>
      </w:r>
    </w:p>
    <w:p w14:paraId="3C7037A6" w14:textId="77777777" w:rsidR="00DB5307" w:rsidRPr="008B25DF" w:rsidRDefault="00DB5307" w:rsidP="004C4C0F">
      <w:pPr>
        <w:pStyle w:val="ListBullet"/>
        <w:rPr>
          <w:lang w:val="en-GB" w:eastAsia="en-GB"/>
        </w:rPr>
      </w:pPr>
      <w:r w:rsidRPr="008B25DF">
        <w:rPr>
          <w:lang w:val="en-GB" w:eastAsia="en-GB"/>
        </w:rPr>
        <w:t>Stakeholders – the client has little design control post tender so the contractor/consultant must take the lead in negotiations and liaison.</w:t>
      </w:r>
    </w:p>
    <w:p w14:paraId="3813A137" w14:textId="77777777" w:rsidR="00DB5307" w:rsidRPr="008B25DF" w:rsidRDefault="00DB5307" w:rsidP="004C4C0F">
      <w:pPr>
        <w:pStyle w:val="ListBullet"/>
        <w:rPr>
          <w:lang w:val="en-GB" w:eastAsia="en-GB"/>
        </w:rPr>
      </w:pPr>
      <w:r w:rsidRPr="008B25DF">
        <w:rPr>
          <w:lang w:val="en-GB" w:eastAsia="en-GB"/>
        </w:rPr>
        <w:t>Client involvement, control and capability – the contractor has design control post tender and responsibility for Implementation during construction.</w:t>
      </w:r>
    </w:p>
    <w:p w14:paraId="641C8083" w14:textId="77777777" w:rsidR="00DB5307" w:rsidRPr="008B25DF" w:rsidRDefault="00DB5307" w:rsidP="004C4C0F">
      <w:pPr>
        <w:pStyle w:val="ListBullet"/>
        <w:rPr>
          <w:lang w:val="en-GB" w:eastAsia="en-GB"/>
        </w:rPr>
      </w:pPr>
      <w:r w:rsidRPr="008B25DF">
        <w:rPr>
          <w:lang w:val="en-GB" w:eastAsia="en-GB"/>
        </w:rPr>
        <w:t>Focus on non-cost success (e.g. social and environmental) –</w:t>
      </w:r>
      <w:r w:rsidR="00FC6D32">
        <w:rPr>
          <w:lang w:val="en-GB" w:eastAsia="en-GB"/>
        </w:rPr>
        <w:t xml:space="preserve"> Waka Kotahi</w:t>
      </w:r>
      <w:r w:rsidRPr="008B25DF">
        <w:rPr>
          <w:lang w:val="en-GB" w:eastAsia="en-GB"/>
        </w:rPr>
        <w:t xml:space="preserve"> retains control during the design process and </w:t>
      </w:r>
      <w:proofErr w:type="gramStart"/>
      <w:r w:rsidRPr="008B25DF">
        <w:rPr>
          <w:lang w:val="en-GB" w:eastAsia="en-GB"/>
        </w:rPr>
        <w:t>have the ability to</w:t>
      </w:r>
      <w:proofErr w:type="gramEnd"/>
      <w:r w:rsidRPr="008B25DF">
        <w:rPr>
          <w:lang w:val="en-GB" w:eastAsia="en-GB"/>
        </w:rPr>
        <w:t xml:space="preserve"> value non-cost success. </w:t>
      </w:r>
    </w:p>
    <w:p w14:paraId="347B1102" w14:textId="77777777" w:rsidR="00DB5307" w:rsidRPr="008B25DF" w:rsidRDefault="00DB5307" w:rsidP="004C4C0F">
      <w:pPr>
        <w:pStyle w:val="ListBullet"/>
        <w:rPr>
          <w:lang w:val="en-GB" w:eastAsia="en-GB"/>
        </w:rPr>
      </w:pPr>
      <w:r w:rsidRPr="008B25DF">
        <w:rPr>
          <w:lang w:val="en-GB" w:eastAsia="en-GB"/>
        </w:rPr>
        <w:t xml:space="preserve">Tangible demonstration of value for money – proposed tender designs are assessed for tangible cost benefits and assigned a premium. This should ensure the successful design achieves the best value for money possible. </w:t>
      </w:r>
    </w:p>
    <w:p w14:paraId="70485762" w14:textId="77777777" w:rsidR="00DB5307" w:rsidRPr="008B25DF" w:rsidRDefault="00DB5307" w:rsidP="004C4C0F">
      <w:pPr>
        <w:pStyle w:val="ListBullet"/>
        <w:rPr>
          <w:lang w:val="en-GB" w:eastAsia="en-GB"/>
        </w:rPr>
      </w:pPr>
      <w:r w:rsidRPr="008B25DF">
        <w:rPr>
          <w:lang w:val="en-GB" w:eastAsia="en-GB"/>
        </w:rPr>
        <w:t xml:space="preserve">Flexibility to deal with change – the detailed design is completed as construction is ongoing so variations can be accommodated into the design. </w:t>
      </w:r>
      <w:proofErr w:type="gramStart"/>
      <w:r w:rsidRPr="008B25DF">
        <w:rPr>
          <w:lang w:val="en-GB" w:eastAsia="en-GB"/>
        </w:rPr>
        <w:t>However</w:t>
      </w:r>
      <w:proofErr w:type="gramEnd"/>
      <w:r w:rsidRPr="008B25DF">
        <w:rPr>
          <w:lang w:val="en-GB" w:eastAsia="en-GB"/>
        </w:rPr>
        <w:t xml:space="preserve"> changes in scope can be costly.</w:t>
      </w:r>
    </w:p>
    <w:p w14:paraId="224D4CC1"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Advantages:</w:t>
      </w:r>
    </w:p>
    <w:p w14:paraId="0A864F39"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High risks associated with constructability such as complicated traffic </w:t>
      </w:r>
      <w:proofErr w:type="gramStart"/>
      <w:r w:rsidRPr="008B25DF">
        <w:rPr>
          <w:rFonts w:eastAsia="Times New Roman" w:cs="Arial"/>
          <w:bCs/>
          <w:szCs w:val="20"/>
          <w:lang w:val="en-GB" w:eastAsia="en-GB"/>
        </w:rPr>
        <w:t>management, and</w:t>
      </w:r>
      <w:proofErr w:type="gramEnd"/>
      <w:r w:rsidRPr="008B25DF">
        <w:rPr>
          <w:rFonts w:eastAsia="Times New Roman" w:cs="Arial"/>
          <w:bCs/>
          <w:szCs w:val="20"/>
          <w:lang w:val="en-GB" w:eastAsia="en-GB"/>
        </w:rPr>
        <w:t xml:space="preserve"> working close to live lanes along the motorway can be addressed in the detailed design phase in consultation with the contractor.</w:t>
      </w:r>
    </w:p>
    <w:p w14:paraId="5D99FFA4"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After the specimen design has been completed the detailed design and construction can be let as a lump sum contract, transferring potential risks to the contractor who is best placed to manage them. </w:t>
      </w:r>
    </w:p>
    <w:p w14:paraId="77F130C8"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Works can be competitively tendered giving price tension.</w:t>
      </w:r>
    </w:p>
    <w:p w14:paraId="7AE972A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Increased potential for build-ability and design innovation.</w:t>
      </w:r>
    </w:p>
    <w:p w14:paraId="68E120CD" w14:textId="77777777" w:rsidR="00DB5307" w:rsidRPr="008B25DF" w:rsidRDefault="00FC6D32" w:rsidP="004C4C0F">
      <w:pPr>
        <w:numPr>
          <w:ilvl w:val="1"/>
          <w:numId w:val="22"/>
        </w:numPr>
        <w:spacing w:after="60" w:line="260" w:lineRule="atLeast"/>
        <w:rPr>
          <w:rFonts w:eastAsia="Times New Roman" w:cs="Arial"/>
          <w:bCs/>
          <w:szCs w:val="20"/>
          <w:lang w:val="en-GB" w:eastAsia="en-GB"/>
        </w:rPr>
      </w:pPr>
      <w:r>
        <w:rPr>
          <w:rFonts w:eastAsia="Times New Roman" w:cs="Arial"/>
          <w:bCs/>
          <w:szCs w:val="20"/>
          <w:lang w:val="en-GB" w:eastAsia="en-GB"/>
        </w:rPr>
        <w:t>Waka Kotahi</w:t>
      </w:r>
      <w:r w:rsidR="00DB5307" w:rsidRPr="008B25DF">
        <w:rPr>
          <w:rFonts w:eastAsia="Times New Roman" w:cs="Arial"/>
          <w:bCs/>
          <w:szCs w:val="20"/>
          <w:lang w:val="en-GB" w:eastAsia="en-GB"/>
        </w:rPr>
        <w:t xml:space="preserve"> requires less design resource.</w:t>
      </w:r>
    </w:p>
    <w:p w14:paraId="1FB43D1B"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Disadvantages:</w:t>
      </w:r>
    </w:p>
    <w:p w14:paraId="6098E61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Specimen design, designations, resource consents and property purchases must be in place prior to tendering the detailed design and construction. This means a later site start date compared to ECI or alliance models.</w:t>
      </w:r>
    </w:p>
    <w:p w14:paraId="64C0ADF1"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Letting separate portions as design and construct contracts is not practical as it can lead to design conflicts. </w:t>
      </w:r>
    </w:p>
    <w:p w14:paraId="4EDDD45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Procurement cost for both the client and supplier are higher.</w:t>
      </w:r>
    </w:p>
    <w:p w14:paraId="2F28B726"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Minimum standard designs are encouraged.</w:t>
      </w:r>
    </w:p>
    <w:p w14:paraId="4806EB98"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Greater risk transfer to supplier may increase costs.</w:t>
      </w:r>
    </w:p>
    <w:p w14:paraId="4C89084D"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Post contract variations and scope changes can be costly.</w:t>
      </w:r>
    </w:p>
    <w:p w14:paraId="401042E5"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Flexibility is reduced after award.</w:t>
      </w:r>
    </w:p>
    <w:p w14:paraId="4AE32BA0"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number of potential suppliers is reduced due to tendering costs and risk transfer.</w:t>
      </w:r>
    </w:p>
    <w:p w14:paraId="080D6A33" w14:textId="77777777" w:rsidR="00DB5307" w:rsidRPr="008B25DF" w:rsidRDefault="00DB5307" w:rsidP="004C4C0F">
      <w:pPr>
        <w:spacing w:after="0" w:line="240" w:lineRule="auto"/>
        <w:rPr>
          <w:rFonts w:eastAsia="Times New Roman" w:cs="Arial"/>
          <w:sz w:val="10"/>
          <w:szCs w:val="10"/>
          <w:lang w:val="en-GB" w:eastAsia="en-GB"/>
        </w:rPr>
      </w:pPr>
    </w:p>
    <w:p w14:paraId="05AFEE8A" w14:textId="77777777" w:rsidR="00DB5307" w:rsidRPr="008B25DF" w:rsidRDefault="00DB5307" w:rsidP="004C4C0F">
      <w:pPr>
        <w:pStyle w:val="Heading4"/>
        <w:rPr>
          <w:rFonts w:eastAsia="Times New Roman"/>
          <w:lang w:val="en-GB" w:eastAsia="en-GB"/>
        </w:rPr>
      </w:pPr>
      <w:r w:rsidRPr="008B25DF">
        <w:rPr>
          <w:rFonts w:eastAsia="Times New Roman"/>
          <w:lang w:val="en-GB" w:eastAsia="en-GB"/>
        </w:rPr>
        <w:t>ECI</w:t>
      </w:r>
    </w:p>
    <w:p w14:paraId="495EC699" w14:textId="77777777" w:rsidR="00DB5307" w:rsidRPr="008B25DF" w:rsidRDefault="00DB5307" w:rsidP="004C4C0F">
      <w:pPr>
        <w:pStyle w:val="ListBullet"/>
        <w:rPr>
          <w:lang w:val="en-GB" w:eastAsia="en-GB"/>
        </w:rPr>
      </w:pPr>
      <w:r w:rsidRPr="008B25DF">
        <w:rPr>
          <w:lang w:val="en-GB" w:eastAsia="en-GB"/>
        </w:rPr>
        <w:t>Scale – suitable for medium to large scale projects.</w:t>
      </w:r>
    </w:p>
    <w:p w14:paraId="53F5CAB3" w14:textId="77777777" w:rsidR="00DB5307" w:rsidRPr="008B25DF" w:rsidRDefault="00DB5307" w:rsidP="004C4C0F">
      <w:pPr>
        <w:pStyle w:val="ListBullet"/>
        <w:rPr>
          <w:lang w:val="en-GB" w:eastAsia="en-GB"/>
        </w:rPr>
      </w:pPr>
      <w:r w:rsidRPr="008B25DF">
        <w:rPr>
          <w:lang w:val="en-GB" w:eastAsia="en-GB"/>
        </w:rPr>
        <w:t>Complexity/scope for innovation – lots of scope for innovation and suitable for complex projects.</w:t>
      </w:r>
    </w:p>
    <w:p w14:paraId="176E1D2E" w14:textId="77777777" w:rsidR="00DB5307" w:rsidRPr="008B25DF" w:rsidRDefault="00DB5307" w:rsidP="004C4C0F">
      <w:pPr>
        <w:pStyle w:val="ListBullet"/>
        <w:rPr>
          <w:lang w:val="en-GB" w:eastAsia="en-GB"/>
        </w:rPr>
      </w:pPr>
      <w:r w:rsidRPr="008B25DF">
        <w:rPr>
          <w:lang w:val="en-GB" w:eastAsia="en-GB"/>
        </w:rPr>
        <w:t>Programme constraint – detailed design, designation, consents and property purchase can be completed after construction is started so earlier construction start/finish dates are possible compared to traditional and D&amp;C models.</w:t>
      </w:r>
    </w:p>
    <w:p w14:paraId="7662339E" w14:textId="77777777" w:rsidR="00DB5307" w:rsidRPr="008B25DF" w:rsidRDefault="00DB5307" w:rsidP="004C4C0F">
      <w:pPr>
        <w:pStyle w:val="ListBullet"/>
        <w:rPr>
          <w:lang w:val="en-GB" w:eastAsia="en-GB"/>
        </w:rPr>
      </w:pPr>
      <w:r w:rsidRPr="008B25DF">
        <w:rPr>
          <w:lang w:val="en-GB" w:eastAsia="en-GB"/>
        </w:rPr>
        <w:lastRenderedPageBreak/>
        <w:t xml:space="preserve">Market conditions – generally low-medium tendering cost should allow a range of interested contractors/consultants to tender. Due to the </w:t>
      </w:r>
      <w:proofErr w:type="gramStart"/>
      <w:r w:rsidRPr="008B25DF">
        <w:rPr>
          <w:lang w:val="en-GB" w:eastAsia="en-GB"/>
        </w:rPr>
        <w:t>contractors</w:t>
      </w:r>
      <w:proofErr w:type="gramEnd"/>
      <w:r w:rsidRPr="008B25DF">
        <w:rPr>
          <w:lang w:val="en-GB" w:eastAsia="en-GB"/>
        </w:rPr>
        <w:t xml:space="preserve"> high level of commitment in the investigation and design phase some contractors may be less interested in tendering during periods of high workload.</w:t>
      </w:r>
    </w:p>
    <w:p w14:paraId="3063204C" w14:textId="77777777" w:rsidR="00DB5307" w:rsidRPr="008B25DF" w:rsidRDefault="00DB5307" w:rsidP="004C4C0F">
      <w:pPr>
        <w:pStyle w:val="ListBullet"/>
        <w:rPr>
          <w:lang w:val="en-GB" w:eastAsia="en-GB"/>
        </w:rPr>
      </w:pPr>
      <w:r w:rsidRPr="008B25DF">
        <w:rPr>
          <w:lang w:val="en-GB" w:eastAsia="en-GB"/>
        </w:rPr>
        <w:t xml:space="preserve">Risk (quantum and type) – suitable for medium to high risk profiles. The construction portion of the contract is let on a D&amp;C </w:t>
      </w:r>
      <w:proofErr w:type="gramStart"/>
      <w:r w:rsidRPr="008B25DF">
        <w:rPr>
          <w:lang w:val="en-GB" w:eastAsia="en-GB"/>
        </w:rPr>
        <w:t>basis</w:t>
      </w:r>
      <w:proofErr w:type="gramEnd"/>
      <w:r w:rsidRPr="008B25DF">
        <w:rPr>
          <w:lang w:val="en-GB" w:eastAsia="en-GB"/>
        </w:rPr>
        <w:t xml:space="preserve"> so the contractor has the responsibility for the detailed design.</w:t>
      </w:r>
    </w:p>
    <w:p w14:paraId="65DACCAA" w14:textId="77777777" w:rsidR="00DB5307" w:rsidRPr="008B25DF" w:rsidRDefault="00DB5307" w:rsidP="004C4C0F">
      <w:pPr>
        <w:pStyle w:val="ListBullet"/>
        <w:rPr>
          <w:lang w:val="en-GB" w:eastAsia="en-GB"/>
        </w:rPr>
      </w:pPr>
      <w:r w:rsidRPr="008B25DF">
        <w:rPr>
          <w:lang w:val="en-GB" w:eastAsia="en-GB"/>
        </w:rPr>
        <w:t>Stakeholders – the client retains design control until the D&amp;C phase is awarded. At this point the contractor/consultant must take the lead in negotiations and liaison.</w:t>
      </w:r>
    </w:p>
    <w:p w14:paraId="15EA736C" w14:textId="77777777" w:rsidR="00DB5307" w:rsidRPr="008B25DF" w:rsidRDefault="00DB5307" w:rsidP="004C4C0F">
      <w:pPr>
        <w:pStyle w:val="ListBullet"/>
        <w:rPr>
          <w:lang w:val="en-GB" w:eastAsia="en-GB"/>
        </w:rPr>
      </w:pPr>
      <w:r w:rsidRPr="008B25DF">
        <w:rPr>
          <w:lang w:val="en-GB" w:eastAsia="en-GB"/>
        </w:rPr>
        <w:t>Client involvement, control and capability – the contractor has control of the detailed design and responsibility for Implementation during construction.</w:t>
      </w:r>
    </w:p>
    <w:p w14:paraId="5E5AABA8" w14:textId="77777777" w:rsidR="00DB5307" w:rsidRPr="008B25DF" w:rsidRDefault="00DB5307" w:rsidP="004C4C0F">
      <w:pPr>
        <w:pStyle w:val="ListBullet"/>
        <w:rPr>
          <w:lang w:val="en-GB" w:eastAsia="en-GB"/>
        </w:rPr>
      </w:pPr>
      <w:r w:rsidRPr="008B25DF">
        <w:rPr>
          <w:lang w:val="en-GB" w:eastAsia="en-GB"/>
        </w:rPr>
        <w:t xml:space="preserve">Focus on non-cost success (e.g. social and environmental) – </w:t>
      </w:r>
      <w:r w:rsidR="00FC6D32">
        <w:rPr>
          <w:lang w:val="en-GB" w:eastAsia="en-GB"/>
        </w:rPr>
        <w:t>Waka Kotahi</w:t>
      </w:r>
      <w:r w:rsidRPr="008B25DF">
        <w:rPr>
          <w:lang w:val="en-GB" w:eastAsia="en-GB"/>
        </w:rPr>
        <w:t xml:space="preserve"> retains control during the preliminary design process and </w:t>
      </w:r>
      <w:proofErr w:type="gramStart"/>
      <w:r w:rsidRPr="008B25DF">
        <w:rPr>
          <w:lang w:val="en-GB" w:eastAsia="en-GB"/>
        </w:rPr>
        <w:t>have the ability to</w:t>
      </w:r>
      <w:proofErr w:type="gramEnd"/>
      <w:r w:rsidRPr="008B25DF">
        <w:rPr>
          <w:lang w:val="en-GB" w:eastAsia="en-GB"/>
        </w:rPr>
        <w:t xml:space="preserve"> value non-cost success. </w:t>
      </w:r>
    </w:p>
    <w:p w14:paraId="5778396D" w14:textId="77777777" w:rsidR="00DB5307" w:rsidRPr="008B25DF" w:rsidRDefault="00DB5307" w:rsidP="004C4C0F">
      <w:pPr>
        <w:pStyle w:val="ListBullet"/>
        <w:rPr>
          <w:lang w:val="en-GB" w:eastAsia="en-GB"/>
        </w:rPr>
      </w:pPr>
      <w:r w:rsidRPr="008B25DF">
        <w:rPr>
          <w:lang w:val="en-GB" w:eastAsia="en-GB"/>
        </w:rPr>
        <w:t xml:space="preserve">Tangible demonstration of value for money – an independent parallel estimate is conducted on the specimen design prior to award of the D&amp;C phase to ensure a competitive construction price is achieved. The specimen design is developed in conjunction with </w:t>
      </w:r>
      <w:r w:rsidR="00FC6D32">
        <w:rPr>
          <w:lang w:val="en-GB" w:eastAsia="en-GB"/>
        </w:rPr>
        <w:t>Waka Kotahi</w:t>
      </w:r>
      <w:r w:rsidRPr="008B25DF">
        <w:rPr>
          <w:lang w:val="en-GB" w:eastAsia="en-GB"/>
        </w:rPr>
        <w:t xml:space="preserve"> and in consideration of project requirements.</w:t>
      </w:r>
    </w:p>
    <w:p w14:paraId="3A3FEBEE" w14:textId="77777777" w:rsidR="00DB5307" w:rsidRPr="008B25DF" w:rsidRDefault="00DB5307" w:rsidP="004C4C0F">
      <w:pPr>
        <w:pStyle w:val="ListBullet"/>
        <w:rPr>
          <w:lang w:val="en-GB" w:eastAsia="en-GB"/>
        </w:rPr>
      </w:pPr>
      <w:r w:rsidRPr="008B25DF">
        <w:rPr>
          <w:lang w:val="en-GB" w:eastAsia="en-GB"/>
        </w:rPr>
        <w:t>Flexibility to deal with change – the ECI model allows for design and scope changes to be incorporated before the D&amp;C portion of the contract is let.</w:t>
      </w:r>
    </w:p>
    <w:p w14:paraId="414AE16D" w14:textId="77777777" w:rsidR="00DB5307" w:rsidRPr="008B25DF" w:rsidRDefault="00DB5307" w:rsidP="004C4C0F">
      <w:pPr>
        <w:keepNext/>
        <w:spacing w:before="160" w:after="60" w:line="240" w:lineRule="auto"/>
        <w:ind w:left="284"/>
        <w:rPr>
          <w:rFonts w:eastAsia="Times New Roman" w:cs="Arial"/>
          <w:bCs/>
          <w:szCs w:val="20"/>
          <w:lang w:val="en-GB" w:eastAsia="en-GB"/>
        </w:rPr>
      </w:pPr>
      <w:r w:rsidRPr="008B25DF">
        <w:rPr>
          <w:rFonts w:eastAsia="Times New Roman" w:cs="Arial"/>
          <w:szCs w:val="20"/>
          <w:lang w:val="en-GB" w:eastAsia="en-GB"/>
        </w:rPr>
        <w:t>Advantages:</w:t>
      </w:r>
    </w:p>
    <w:p w14:paraId="70B6F5E0"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High risks associated with constructability such as complicated traffic </w:t>
      </w:r>
      <w:proofErr w:type="gramStart"/>
      <w:r w:rsidRPr="008B25DF">
        <w:rPr>
          <w:rFonts w:eastAsia="Times New Roman" w:cs="Arial"/>
          <w:bCs/>
          <w:szCs w:val="20"/>
          <w:lang w:val="en-GB" w:eastAsia="en-GB"/>
        </w:rPr>
        <w:t>management, and</w:t>
      </w:r>
      <w:proofErr w:type="gramEnd"/>
      <w:r w:rsidRPr="008B25DF">
        <w:rPr>
          <w:rFonts w:eastAsia="Times New Roman" w:cs="Arial"/>
          <w:bCs/>
          <w:szCs w:val="20"/>
          <w:lang w:val="en-GB" w:eastAsia="en-GB"/>
        </w:rPr>
        <w:t xml:space="preserve"> working close to live lanes along the motorway can be addressed in the design phase in consultation with the contractor. </w:t>
      </w:r>
    </w:p>
    <w:p w14:paraId="36038611"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Increased potential for build-ability and design innovation.</w:t>
      </w:r>
    </w:p>
    <w:p w14:paraId="403AFF09"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ECI model will enable the staged design and construction to occur concurrently allowing an earlier start on site works</w:t>
      </w:r>
    </w:p>
    <w:p w14:paraId="3256D356"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There is currently a strong </w:t>
      </w:r>
      <w:proofErr w:type="spellStart"/>
      <w:proofErr w:type="gramStart"/>
      <w:r w:rsidRPr="008B25DF">
        <w:rPr>
          <w:rFonts w:eastAsia="Times New Roman" w:cs="Arial"/>
          <w:bCs/>
          <w:szCs w:val="20"/>
          <w:lang w:val="en-GB" w:eastAsia="en-GB"/>
        </w:rPr>
        <w:t>buyers</w:t>
      </w:r>
      <w:proofErr w:type="gramEnd"/>
      <w:r w:rsidRPr="008B25DF">
        <w:rPr>
          <w:rFonts w:eastAsia="Times New Roman" w:cs="Arial"/>
          <w:bCs/>
          <w:szCs w:val="20"/>
          <w:lang w:val="en-GB" w:eastAsia="en-GB"/>
        </w:rPr>
        <w:t xml:space="preserve"> market</w:t>
      </w:r>
      <w:proofErr w:type="spellEnd"/>
      <w:r w:rsidRPr="008B25DF">
        <w:rPr>
          <w:rFonts w:eastAsia="Times New Roman" w:cs="Arial"/>
          <w:bCs/>
          <w:szCs w:val="20"/>
          <w:lang w:val="en-GB" w:eastAsia="en-GB"/>
        </w:rPr>
        <w:t xml:space="preserve"> with some contractor’s known to have very light order books. This should assist in ensuring a competitive PW price.</w:t>
      </w:r>
    </w:p>
    <w:p w14:paraId="47F666A1"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The ECI model allows </w:t>
      </w:r>
      <w:r w:rsidR="00FC6D32">
        <w:rPr>
          <w:rFonts w:eastAsia="Times New Roman" w:cs="Arial"/>
          <w:bCs/>
          <w:szCs w:val="20"/>
          <w:lang w:val="en-GB" w:eastAsia="en-GB"/>
        </w:rPr>
        <w:t>Waka Kotahi</w:t>
      </w:r>
      <w:r w:rsidRPr="008B25DF">
        <w:rPr>
          <w:rFonts w:eastAsia="Times New Roman" w:cs="Arial"/>
          <w:bCs/>
          <w:szCs w:val="20"/>
          <w:lang w:val="en-GB" w:eastAsia="en-GB"/>
        </w:rPr>
        <w:t xml:space="preserve"> to retain control over the project during development. This is considered of high importance as final scope is dependent on consent and alteration designation processes. </w:t>
      </w:r>
    </w:p>
    <w:p w14:paraId="52CC06E7"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ECI allows stakeholder consultation to continue and be fed into the design as portions of the works are commenced on site.</w:t>
      </w:r>
    </w:p>
    <w:p w14:paraId="7831B2A4"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After the specimen design has been completed the detailed design and construction can be let as a lump sum contract, transferring potential risks to the contractor who is best placed to manage them.</w:t>
      </w:r>
    </w:p>
    <w:p w14:paraId="259F3EE8"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Disadvantages:</w:t>
      </w:r>
    </w:p>
    <w:p w14:paraId="693D1189"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Decreased competition on price may result in higher PW costs.</w:t>
      </w:r>
    </w:p>
    <w:p w14:paraId="66D6AB01" w14:textId="77777777" w:rsidR="00DB5307" w:rsidRPr="008B25DF" w:rsidRDefault="00DB5307" w:rsidP="004C4C0F">
      <w:pPr>
        <w:spacing w:after="0" w:line="240" w:lineRule="auto"/>
        <w:rPr>
          <w:rFonts w:eastAsia="Times New Roman" w:cs="Arial"/>
          <w:bCs/>
          <w:sz w:val="10"/>
          <w:szCs w:val="10"/>
          <w:lang w:val="en-GB" w:eastAsia="en-GB"/>
        </w:rPr>
      </w:pPr>
    </w:p>
    <w:p w14:paraId="546B3754" w14:textId="77777777" w:rsidR="00DB5307" w:rsidRPr="008B25DF" w:rsidRDefault="00DB5307" w:rsidP="004C4C0F">
      <w:pPr>
        <w:pStyle w:val="Heading4"/>
        <w:rPr>
          <w:rFonts w:eastAsia="Times New Roman"/>
          <w:lang w:val="en-GB" w:eastAsia="en-GB"/>
        </w:rPr>
      </w:pPr>
      <w:r w:rsidRPr="008B25DF">
        <w:rPr>
          <w:rFonts w:eastAsia="Times New Roman"/>
          <w:lang w:val="en-GB" w:eastAsia="en-GB"/>
        </w:rPr>
        <w:t>Competitive alliance/Alliance</w:t>
      </w:r>
    </w:p>
    <w:p w14:paraId="303675EC" w14:textId="77777777" w:rsidR="00DB5307" w:rsidRPr="008B25DF" w:rsidRDefault="00DB5307" w:rsidP="004C4C0F">
      <w:pPr>
        <w:pStyle w:val="ListBullet"/>
        <w:rPr>
          <w:lang w:val="en-GB" w:eastAsia="en-GB"/>
        </w:rPr>
      </w:pPr>
      <w:r w:rsidRPr="008B25DF">
        <w:rPr>
          <w:lang w:val="en-GB" w:eastAsia="en-GB"/>
        </w:rPr>
        <w:t>Scale – suitable for large and very large projects</w:t>
      </w:r>
    </w:p>
    <w:p w14:paraId="3456A17F" w14:textId="77777777" w:rsidR="00DB5307" w:rsidRPr="008B25DF" w:rsidRDefault="00DB5307" w:rsidP="004C4C0F">
      <w:pPr>
        <w:pStyle w:val="ListBullet"/>
        <w:rPr>
          <w:lang w:val="en-GB" w:eastAsia="en-GB"/>
        </w:rPr>
      </w:pPr>
      <w:r w:rsidRPr="008B25DF">
        <w:rPr>
          <w:lang w:val="en-GB" w:eastAsia="en-GB"/>
        </w:rPr>
        <w:t>Complexity / scope for innovation – suitable for complex projects. The shared risk/profit model drives innovation form all parties</w:t>
      </w:r>
    </w:p>
    <w:p w14:paraId="7A7E58E7" w14:textId="77777777" w:rsidR="00DB5307" w:rsidRPr="008B25DF" w:rsidRDefault="00DB5307" w:rsidP="004C4C0F">
      <w:pPr>
        <w:pStyle w:val="ListBullet"/>
        <w:rPr>
          <w:lang w:val="en-GB" w:eastAsia="en-GB"/>
        </w:rPr>
      </w:pPr>
      <w:r w:rsidRPr="008B25DF">
        <w:rPr>
          <w:lang w:val="en-GB" w:eastAsia="en-GB"/>
        </w:rPr>
        <w:t xml:space="preserve">Programme Constraint – site works can begin as the design is developed allowing earlier construction </w:t>
      </w:r>
      <w:proofErr w:type="gramStart"/>
      <w:r w:rsidRPr="008B25DF">
        <w:rPr>
          <w:lang w:val="en-GB" w:eastAsia="en-GB"/>
        </w:rPr>
        <w:t>start</w:t>
      </w:r>
      <w:proofErr w:type="gramEnd"/>
      <w:r w:rsidRPr="008B25DF">
        <w:rPr>
          <w:lang w:val="en-GB" w:eastAsia="en-GB"/>
        </w:rPr>
        <w:t xml:space="preserve"> and finish dates to be achieved</w:t>
      </w:r>
    </w:p>
    <w:p w14:paraId="5C2598F7" w14:textId="77777777" w:rsidR="00DB5307" w:rsidRPr="008B25DF" w:rsidRDefault="00DB5307" w:rsidP="004C4C0F">
      <w:pPr>
        <w:pStyle w:val="ListBullet"/>
        <w:rPr>
          <w:lang w:val="en-GB" w:eastAsia="en-GB"/>
        </w:rPr>
      </w:pPr>
      <w:r w:rsidRPr="008B25DF">
        <w:rPr>
          <w:lang w:val="en-GB" w:eastAsia="en-GB"/>
        </w:rPr>
        <w:t>Market conditions – the potential for the contractor and consultant to share in cost savings driven by good performance means this model should be attractive to suppliers in most market conditions.</w:t>
      </w:r>
    </w:p>
    <w:p w14:paraId="296A3019" w14:textId="77777777" w:rsidR="00DB5307" w:rsidRPr="008B25DF" w:rsidRDefault="00DB5307" w:rsidP="004C4C0F">
      <w:pPr>
        <w:pStyle w:val="ListBullet"/>
        <w:rPr>
          <w:lang w:val="en-GB" w:eastAsia="en-GB"/>
        </w:rPr>
      </w:pPr>
      <w:r w:rsidRPr="008B25DF">
        <w:rPr>
          <w:lang w:val="en-GB" w:eastAsia="en-GB"/>
        </w:rPr>
        <w:t xml:space="preserve">Risk (quantum and type) – this model is suitable for low, medium and </w:t>
      </w:r>
      <w:proofErr w:type="gramStart"/>
      <w:r w:rsidRPr="008B25DF">
        <w:rPr>
          <w:lang w:val="en-GB" w:eastAsia="en-GB"/>
        </w:rPr>
        <w:t>high risk</w:t>
      </w:r>
      <w:proofErr w:type="gramEnd"/>
      <w:r w:rsidRPr="008B25DF">
        <w:rPr>
          <w:lang w:val="en-GB" w:eastAsia="en-GB"/>
        </w:rPr>
        <w:t xml:space="preserve"> projects.</w:t>
      </w:r>
    </w:p>
    <w:p w14:paraId="69C3E5ED" w14:textId="77777777" w:rsidR="00DB5307" w:rsidRPr="008B25DF" w:rsidRDefault="00DB5307" w:rsidP="004C4C0F">
      <w:pPr>
        <w:pStyle w:val="ListBullet"/>
        <w:rPr>
          <w:lang w:val="en-GB" w:eastAsia="en-GB"/>
        </w:rPr>
      </w:pPr>
      <w:r w:rsidRPr="008B25DF">
        <w:rPr>
          <w:lang w:val="en-GB" w:eastAsia="en-GB"/>
        </w:rPr>
        <w:t xml:space="preserve">Stakeholders - </w:t>
      </w:r>
    </w:p>
    <w:p w14:paraId="1B58B3CE" w14:textId="77777777" w:rsidR="00DB5307" w:rsidRPr="008B25DF" w:rsidRDefault="00DB5307" w:rsidP="004C4C0F">
      <w:pPr>
        <w:pStyle w:val="ListBullet"/>
        <w:rPr>
          <w:lang w:val="en-GB" w:eastAsia="en-GB"/>
        </w:rPr>
      </w:pPr>
      <w:r w:rsidRPr="008B25DF">
        <w:rPr>
          <w:lang w:val="en-GB" w:eastAsia="en-GB"/>
        </w:rPr>
        <w:lastRenderedPageBreak/>
        <w:t>Client involvement, control and capability</w:t>
      </w:r>
    </w:p>
    <w:p w14:paraId="34F69F3B" w14:textId="77777777" w:rsidR="00DB5307" w:rsidRPr="008B25DF" w:rsidRDefault="00DB5307" w:rsidP="004C4C0F">
      <w:pPr>
        <w:pStyle w:val="ListBullet"/>
        <w:rPr>
          <w:lang w:val="en-GB" w:eastAsia="en-GB"/>
        </w:rPr>
      </w:pPr>
      <w:r w:rsidRPr="008B25DF">
        <w:rPr>
          <w:lang w:val="en-GB" w:eastAsia="en-GB"/>
        </w:rPr>
        <w:t>Focus on non-cost success (e.g. social and environmental)</w:t>
      </w:r>
    </w:p>
    <w:p w14:paraId="74477984" w14:textId="77777777" w:rsidR="00DB5307" w:rsidRPr="008B25DF" w:rsidRDefault="00DB5307" w:rsidP="004C4C0F">
      <w:pPr>
        <w:pStyle w:val="ListBullet"/>
        <w:rPr>
          <w:lang w:val="en-GB" w:eastAsia="en-GB"/>
        </w:rPr>
      </w:pPr>
      <w:r w:rsidRPr="008B25DF">
        <w:rPr>
          <w:lang w:val="en-GB" w:eastAsia="en-GB"/>
        </w:rPr>
        <w:t>Tangible demonstration of value for money</w:t>
      </w:r>
    </w:p>
    <w:p w14:paraId="750DAA0C" w14:textId="77777777" w:rsidR="00DB5307" w:rsidRPr="008B25DF" w:rsidRDefault="00DB5307" w:rsidP="004C4C0F">
      <w:pPr>
        <w:pStyle w:val="ListBullet"/>
        <w:rPr>
          <w:lang w:val="en-GB" w:eastAsia="en-GB"/>
        </w:rPr>
      </w:pPr>
      <w:r w:rsidRPr="008B25DF">
        <w:rPr>
          <w:lang w:val="en-GB" w:eastAsia="en-GB"/>
        </w:rPr>
        <w:t>Flexibility to deal with change – cost reimbursable and TOC means this model has flexibility to deal with variations and scope changes.</w:t>
      </w:r>
    </w:p>
    <w:p w14:paraId="28417A2F"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Advantages:</w:t>
      </w:r>
    </w:p>
    <w:p w14:paraId="72F91F3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Suitable for delivery of large complex projects.</w:t>
      </w:r>
    </w:p>
    <w:p w14:paraId="5A30298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Allows the exact scope to be developed as the project progresses.</w:t>
      </w:r>
    </w:p>
    <w:p w14:paraId="04B6B74E"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High risks associated with constructability such as complicated traffic management and working close to live lanes along the motorway can be addressed in the design phase in consultation with the contractor. </w:t>
      </w:r>
    </w:p>
    <w:p w14:paraId="70A2DDD6"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Increased potential for build-ability and design innovation.</w:t>
      </w:r>
    </w:p>
    <w:p w14:paraId="332544EB"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shared cost saving model and joint responsibility drives a high project team performance.</w:t>
      </w:r>
    </w:p>
    <w:p w14:paraId="37D1ADA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model allows site works to start before the detailed design has been finished cutting overall project duration.</w:t>
      </w:r>
    </w:p>
    <w:p w14:paraId="0200E2E7"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cost of tendering for proponents is relatively low compared to project size.</w:t>
      </w:r>
    </w:p>
    <w:p w14:paraId="770D609A"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Integrates specialist suppliers/designers into one delivery team giving improved co-ordination and promoting efficiency.</w:t>
      </w:r>
    </w:p>
    <w:p w14:paraId="573FE5FD"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Risks are managed by the party most capably with shared exposure.</w:t>
      </w:r>
    </w:p>
    <w:p w14:paraId="4966F6F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The client does not pay a premium for transfer of risks which may not occur.</w:t>
      </w:r>
    </w:p>
    <w:p w14:paraId="0E1E778C"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Pricing transparency.</w:t>
      </w:r>
    </w:p>
    <w:p w14:paraId="41DCE058" w14:textId="77777777" w:rsidR="00DB5307" w:rsidRPr="008B25DF" w:rsidRDefault="00DB5307" w:rsidP="004C4C0F">
      <w:pPr>
        <w:keepNext/>
        <w:spacing w:before="160" w:after="60" w:line="240" w:lineRule="auto"/>
        <w:ind w:left="284"/>
        <w:rPr>
          <w:rFonts w:eastAsia="Times New Roman" w:cs="Arial"/>
          <w:szCs w:val="20"/>
          <w:lang w:val="en-GB" w:eastAsia="en-GB"/>
        </w:rPr>
      </w:pPr>
      <w:r w:rsidRPr="008B25DF">
        <w:rPr>
          <w:rFonts w:eastAsia="Times New Roman" w:cs="Arial"/>
          <w:szCs w:val="20"/>
          <w:lang w:val="en-GB" w:eastAsia="en-GB"/>
        </w:rPr>
        <w:t>Disadvantages:</w:t>
      </w:r>
    </w:p>
    <w:p w14:paraId="5197696F"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Decreased competition on price may result in higher PW costs.</w:t>
      </w:r>
    </w:p>
    <w:p w14:paraId="38B49C85"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 xml:space="preserve">The procurement process and subsequent project involvement requires substantial/senior </w:t>
      </w:r>
      <w:r w:rsidR="00FC6D32">
        <w:rPr>
          <w:rFonts w:eastAsia="Times New Roman" w:cs="Arial"/>
          <w:bCs/>
          <w:szCs w:val="20"/>
          <w:lang w:val="en-GB" w:eastAsia="en-GB"/>
        </w:rPr>
        <w:t>Waka Kotahi</w:t>
      </w:r>
      <w:r w:rsidRPr="008B25DF">
        <w:rPr>
          <w:rFonts w:eastAsia="Times New Roman" w:cs="Arial"/>
          <w:bCs/>
          <w:szCs w:val="20"/>
          <w:lang w:val="en-GB" w:eastAsia="en-GB"/>
        </w:rPr>
        <w:t xml:space="preserve"> resources.</w:t>
      </w:r>
    </w:p>
    <w:p w14:paraId="03E561F4" w14:textId="77777777" w:rsidR="00DB5307" w:rsidRPr="008B25DF" w:rsidRDefault="00DB5307" w:rsidP="004C4C0F">
      <w:pPr>
        <w:numPr>
          <w:ilvl w:val="1"/>
          <w:numId w:val="22"/>
        </w:numPr>
        <w:spacing w:after="60" w:line="260" w:lineRule="atLeast"/>
        <w:rPr>
          <w:rFonts w:eastAsia="Times New Roman" w:cs="Arial"/>
          <w:bCs/>
          <w:szCs w:val="20"/>
          <w:lang w:val="en-GB" w:eastAsia="en-GB"/>
        </w:rPr>
      </w:pPr>
      <w:r w:rsidRPr="008B25DF">
        <w:rPr>
          <w:rFonts w:eastAsia="Times New Roman" w:cs="Arial"/>
          <w:bCs/>
          <w:szCs w:val="20"/>
          <w:lang w:val="en-GB" w:eastAsia="en-GB"/>
        </w:rPr>
        <w:t>Requires significant resources from the successful consortium to manage the contract.</w:t>
      </w:r>
    </w:p>
    <w:p w14:paraId="11EB73A2" w14:textId="77777777" w:rsidR="00DB5307" w:rsidRPr="001D4093" w:rsidRDefault="00FC6D32" w:rsidP="004C4C0F">
      <w:pPr>
        <w:numPr>
          <w:ilvl w:val="1"/>
          <w:numId w:val="22"/>
        </w:numPr>
        <w:spacing w:after="60" w:line="260" w:lineRule="atLeast"/>
        <w:rPr>
          <w:rFonts w:eastAsia="Times New Roman" w:cs="Arial"/>
          <w:bCs/>
          <w:szCs w:val="20"/>
          <w:lang w:val="en-GB" w:eastAsia="en-GB"/>
        </w:rPr>
      </w:pPr>
      <w:r>
        <w:rPr>
          <w:rFonts w:eastAsia="Times New Roman" w:cs="Arial"/>
          <w:bCs/>
          <w:szCs w:val="20"/>
          <w:lang w:val="en-GB" w:eastAsia="en-GB"/>
        </w:rPr>
        <w:t>Waka Kotahi</w:t>
      </w:r>
      <w:r w:rsidR="00DB5307" w:rsidRPr="008B25DF">
        <w:rPr>
          <w:rFonts w:eastAsia="Times New Roman" w:cs="Arial"/>
          <w:bCs/>
          <w:szCs w:val="20"/>
          <w:lang w:val="en-GB" w:eastAsia="en-GB"/>
        </w:rPr>
        <w:t>’s ability to make unilateral project decisions is restricted.</w:t>
      </w:r>
    </w:p>
    <w:bookmarkEnd w:id="2"/>
    <w:p w14:paraId="10BFC4DA" w14:textId="77777777" w:rsidR="00DB5307" w:rsidRPr="00DB5307" w:rsidRDefault="00DB5307" w:rsidP="00DB5307"/>
    <w:sectPr w:rsidR="00DB5307" w:rsidRPr="00DB5307" w:rsidSect="002D7BA0">
      <w:footerReference w:type="default" r:id="rId11"/>
      <w:headerReference w:type="first" r:id="rId12"/>
      <w:footerReference w:type="first" r:id="rId13"/>
      <w:pgSz w:w="11906" w:h="16838"/>
      <w:pgMar w:top="1985"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33232" w14:textId="77777777" w:rsidR="000B5D3F" w:rsidRDefault="000B5D3F" w:rsidP="002A6A89">
      <w:pPr>
        <w:spacing w:after="0" w:line="240" w:lineRule="auto"/>
      </w:pPr>
      <w:r>
        <w:separator/>
      </w:r>
    </w:p>
  </w:endnote>
  <w:endnote w:type="continuationSeparator" w:id="0">
    <w:p w14:paraId="260F9587" w14:textId="77777777" w:rsidR="000B5D3F" w:rsidRDefault="000B5D3F"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A10000FF" w:usb1="4000005B" w:usb2="00000000" w:usb3="00000000" w:csb0="0000000B"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5000" w:type="pct"/>
      <w:tblLook w:val="04A0" w:firstRow="1" w:lastRow="0" w:firstColumn="1" w:lastColumn="0" w:noHBand="0" w:noVBand="1"/>
    </w:tblPr>
    <w:tblGrid>
      <w:gridCol w:w="3587"/>
      <w:gridCol w:w="6051"/>
    </w:tblGrid>
    <w:tr w:rsidR="006E4008" w14:paraId="4F1744E0" w14:textId="77777777" w:rsidTr="004A34D0">
      <w:tc>
        <w:tcPr>
          <w:tcW w:w="1861" w:type="pct"/>
        </w:tcPr>
        <w:p w14:paraId="4819A994" w14:textId="77777777" w:rsidR="006E4008" w:rsidRDefault="006E4008" w:rsidP="002D125C">
          <w:pPr>
            <w:pStyle w:val="Footer"/>
          </w:pPr>
          <w:r w:rsidRPr="00EF5A46">
            <w:t>WAKA KOTAHI NZ TRANSPORT AGENCY</w:t>
          </w:r>
        </w:p>
      </w:tc>
      <w:tc>
        <w:tcPr>
          <w:tcW w:w="3139" w:type="pct"/>
        </w:tcPr>
        <w:p w14:paraId="1B8B6E68" w14:textId="77777777" w:rsidR="006E4008" w:rsidRPr="00B16546" w:rsidRDefault="00781C88" w:rsidP="005E6C6B">
          <w:pPr>
            <w:pStyle w:val="Footer"/>
            <w:jc w:val="right"/>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rsidR="002D7BA0">
                <w:t>Contract Procedures Manual (SM021) Part A – Appendix XXVIII</w:t>
              </w:r>
            </w:sdtContent>
          </w:sdt>
          <w:r w:rsidR="006E4008" w:rsidRPr="00B16546">
            <w:rPr>
              <w:color w:val="197D5D" w:themeColor="accent2"/>
            </w:rPr>
            <w:t xml:space="preserve"> </w:t>
          </w:r>
          <w:r w:rsidR="006E4008">
            <w:rPr>
              <w:color w:val="197D5D" w:themeColor="accent2"/>
            </w:rPr>
            <w:t xml:space="preserve">// </w:t>
          </w:r>
          <w:r w:rsidR="006E4008" w:rsidRPr="00B16546">
            <w:fldChar w:fldCharType="begin"/>
          </w:r>
          <w:r w:rsidR="006E4008" w:rsidRPr="00B16546">
            <w:instrText xml:space="preserve"> PAGE   \* MERGEFORMAT </w:instrText>
          </w:r>
          <w:r w:rsidR="006E4008" w:rsidRPr="00B16546">
            <w:fldChar w:fldCharType="separate"/>
          </w:r>
          <w:r w:rsidR="006E4008">
            <w:rPr>
              <w:noProof/>
            </w:rPr>
            <w:t>2</w:t>
          </w:r>
          <w:r w:rsidR="006E4008" w:rsidRPr="00B16546">
            <w:rPr>
              <w:noProof/>
            </w:rPr>
            <w:fldChar w:fldCharType="end"/>
          </w:r>
        </w:p>
      </w:tc>
    </w:tr>
  </w:tbl>
  <w:p w14:paraId="4ABA2EF3" w14:textId="77777777" w:rsidR="006E4008" w:rsidRPr="002D125C" w:rsidRDefault="006E4008" w:rsidP="008D0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9717" w14:textId="77777777" w:rsidR="006E4008" w:rsidRDefault="006E4008">
    <w:pPr>
      <w:pStyle w:val="Footer"/>
      <w:rPr>
        <w:rFonts w:asciiTheme="minorHAnsi" w:hAnsiTheme="minorHAnsi"/>
        <w:caps w:val="0"/>
        <w:color w:val="auto"/>
        <w:sz w:val="20"/>
      </w:rPr>
    </w:pPr>
  </w:p>
  <w:p w14:paraId="4CDC2146" w14:textId="77777777" w:rsidR="006E4008" w:rsidRDefault="006E4008" w:rsidP="008D081A">
    <w:pPr>
      <w:pStyle w:val="Footer"/>
      <w:jc w:val="right"/>
    </w:pPr>
    <w:r w:rsidRPr="000C07B0">
      <w:rPr>
        <w:noProof/>
        <w:lang w:eastAsia="en-NZ"/>
      </w:rPr>
      <w:drawing>
        <wp:anchor distT="0" distB="0" distL="114300" distR="114300" simplePos="0" relativeHeight="251660288" behindDoc="0" locked="1" layoutInCell="1" allowOverlap="1" wp14:anchorId="09417596" wp14:editId="2F48B0D8">
          <wp:simplePos x="0" y="0"/>
          <wp:positionH relativeFrom="column">
            <wp:posOffset>-19050</wp:posOffset>
          </wp:positionH>
          <wp:positionV relativeFrom="page">
            <wp:posOffset>10283825</wp:posOffset>
          </wp:positionV>
          <wp:extent cx="1346200" cy="13652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1">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Pr="003D301D">
      <w:rPr>
        <w:noProof/>
        <w:color w:val="AFBD22" w:themeColor="text2"/>
        <w:lang w:eastAsia="en-NZ"/>
      </w:rPr>
      <mc:AlternateContent>
        <mc:Choice Requires="wps">
          <w:drawing>
            <wp:anchor distT="0" distB="0" distL="114300" distR="114300" simplePos="0" relativeHeight="251657216" behindDoc="0" locked="0" layoutInCell="1" allowOverlap="1" wp14:anchorId="12B50E89" wp14:editId="46FB5CDC">
              <wp:simplePos x="0" y="0"/>
              <wp:positionH relativeFrom="page">
                <wp:posOffset>6803390</wp:posOffset>
              </wp:positionH>
              <wp:positionV relativeFrom="page">
                <wp:posOffset>9935740</wp:posOffset>
              </wp:positionV>
              <wp:extent cx="756000" cy="756000"/>
              <wp:effectExtent l="0" t="0" r="6350" b="6350"/>
              <wp:wrapNone/>
              <wp:docPr id="2" name="Right Triangle 2"/>
              <wp:cNvGraphicFramePr/>
              <a:graphic xmlns:a="http://schemas.openxmlformats.org/drawingml/2006/main">
                <a:graphicData uri="http://schemas.microsoft.com/office/word/2010/wordprocessingShape">
                  <wps:wsp>
                    <wps:cNvSpPr/>
                    <wps:spPr>
                      <a:xfrm rot="16200000">
                        <a:off x="0" y="0"/>
                        <a:ext cx="756000" cy="75600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C280"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35.7pt;margin-top:782.35pt;width:59.55pt;height:59.5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" fillcolor="#afbd22 [3215]" stroked="f" strokeweight="1pt">
              <w10:wrap anchorx="page" anchory="page"/>
            </v:shape>
          </w:pict>
        </mc:Fallback>
      </mc:AlternateContent>
    </w:r>
    <w:r w:rsidRPr="006A5010">
      <w:t xml:space="preserve"> </w:t>
    </w:r>
    <w:r w:rsidR="00B85320">
      <w:t>THIRD EDITION, EFFECTIVE 1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C05E" w14:textId="77777777" w:rsidR="000B5D3F" w:rsidRDefault="000B5D3F" w:rsidP="002A6A89">
      <w:pPr>
        <w:spacing w:after="0" w:line="240" w:lineRule="auto"/>
      </w:pPr>
      <w:r>
        <w:separator/>
      </w:r>
    </w:p>
  </w:footnote>
  <w:footnote w:type="continuationSeparator" w:id="0">
    <w:p w14:paraId="42FE76E0" w14:textId="77777777" w:rsidR="000B5D3F" w:rsidRDefault="000B5D3F"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8719" w14:textId="77777777" w:rsidR="006E4008" w:rsidRPr="00EE5134" w:rsidRDefault="006E4008" w:rsidP="00EE5134">
    <w:r>
      <w:rPr>
        <w:noProof/>
        <w:lang w:eastAsia="en-NZ"/>
      </w:rPr>
      <w:drawing>
        <wp:anchor distT="0" distB="0" distL="114300" distR="114300" simplePos="0" relativeHeight="251663360" behindDoc="1" locked="0" layoutInCell="1" allowOverlap="1" wp14:anchorId="76C24F8E" wp14:editId="1772F65F">
          <wp:simplePos x="0" y="0"/>
          <wp:positionH relativeFrom="column">
            <wp:posOffset>-127000</wp:posOffset>
          </wp:positionH>
          <wp:positionV relativeFrom="paragraph">
            <wp:posOffset>-10572</wp:posOffset>
          </wp:positionV>
          <wp:extent cx="2139470" cy="665018"/>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 Blue.jpg"/>
                  <pic:cNvPicPr/>
                </pic:nvPicPr>
                <pic:blipFill>
                  <a:blip r:embed="rId1">
                    <a:extLst>
                      <a:ext uri="{28A0092B-C50C-407E-A947-70E740481C1C}">
                        <a14:useLocalDpi xmlns:a14="http://schemas.microsoft.com/office/drawing/2010/main" val="0"/>
                      </a:ext>
                    </a:extLst>
                  </a:blip>
                  <a:stretch>
                    <a:fillRect/>
                  </a:stretch>
                </pic:blipFill>
                <pic:spPr>
                  <a:xfrm>
                    <a:off x="0" y="0"/>
                    <a:ext cx="2139470" cy="665018"/>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54144" behindDoc="0" locked="0" layoutInCell="1" allowOverlap="1" wp14:anchorId="306250B0" wp14:editId="46BE2FED">
              <wp:simplePos x="0" y="0"/>
              <wp:positionH relativeFrom="margin">
                <wp:posOffset>0</wp:posOffset>
              </wp:positionH>
              <wp:positionV relativeFrom="paragraph">
                <wp:posOffset>292735</wp:posOffset>
              </wp:positionV>
              <wp:extent cx="6120000" cy="356400"/>
              <wp:effectExtent l="0" t="0" r="14605" b="24765"/>
              <wp:wrapNone/>
              <wp:docPr id="11" name="Group 11"/>
              <wp:cNvGraphicFramePr/>
              <a:graphic xmlns:a="http://schemas.openxmlformats.org/drawingml/2006/main">
                <a:graphicData uri="http://schemas.microsoft.com/office/word/2010/wordprocessingGroup">
                  <wpg:wgp>
                    <wpg:cNvGrpSpPr/>
                    <wpg:grpSpPr>
                      <a:xfrm>
                        <a:off x="0" y="0"/>
                        <a:ext cx="6120000" cy="356400"/>
                        <a:chOff x="290000" y="0"/>
                        <a:chExt cx="3557731" cy="205992"/>
                      </a:xfrm>
                    </wpg:grpSpPr>
                    <wps:wsp>
                      <wps:cNvPr id="31" name="Straight Connector 31"/>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8"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013AF" id="Group 11" o:spid="_x0000_s1026" style="position:absolute;margin-left:0;margin-top:23.05pt;width:481.9pt;height:28.05pt;z-index:251654144;mso-position-horizontal-relative:margin;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">
              <v:line id="Straight Connector 31"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" path="m,197933r2874250,-296l3078005,e" filled="f" strokecolor="#123956 [1604]" strokeweight=".5pt">
                <v:stroke joinstyle="miter"/>
                <v:path arrowok="t" o:connecttype="custom" o:connectlocs="0,205992;2994232,205684;3206492,0" o:connectangles="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DA5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AE690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1FEB65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B2E225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800566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6" w15:restartNumberingAfterBreak="0">
    <w:nsid w:val="FFFFFF88"/>
    <w:multiLevelType w:val="singleLevel"/>
    <w:tmpl w:val="A7F037C4"/>
    <w:lvl w:ilvl="0">
      <w:start w:val="1"/>
      <w:numFmt w:val="upperLetter"/>
      <w:lvlText w:val="%1."/>
      <w:lvlJc w:val="left"/>
      <w:pPr>
        <w:ind w:left="360" w:hanging="360"/>
      </w:pPr>
    </w:lvl>
  </w:abstractNum>
  <w:abstractNum w:abstractNumId="7"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F5C5E96"/>
    <w:multiLevelType w:val="hybridMultilevel"/>
    <w:tmpl w:val="DBB2B9A6"/>
    <w:lvl w:ilvl="0" w:tplc="DA24561A">
      <w:start w:val="1"/>
      <w:numFmt w:val="decimal"/>
      <w:lvlText w:val="%1."/>
      <w:lvlJc w:val="left"/>
      <w:pPr>
        <w:tabs>
          <w:tab w:val="num" w:pos="720"/>
        </w:tabs>
        <w:ind w:left="720" w:hanging="360"/>
      </w:pPr>
    </w:lvl>
    <w:lvl w:ilvl="1" w:tplc="B3904D9E">
      <w:numFmt w:val="bullet"/>
      <w:lvlText w:val=""/>
      <w:lvlJc w:val="left"/>
      <w:pPr>
        <w:tabs>
          <w:tab w:val="num" w:pos="284"/>
        </w:tabs>
        <w:ind w:left="284" w:hanging="284"/>
      </w:pPr>
      <w:rPr>
        <w:rFonts w:ascii="Symbol" w:hAnsi="Symbol" w:hint="default"/>
        <w:color w:val="auto"/>
        <w:sz w:val="16"/>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D44364"/>
    <w:multiLevelType w:val="hybridMultilevel"/>
    <w:tmpl w:val="FD2ABC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6867C20"/>
    <w:multiLevelType w:val="hybridMultilevel"/>
    <w:tmpl w:val="451CB796"/>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3" w15:restartNumberingAfterBreak="0">
    <w:nsid w:val="382B0304"/>
    <w:multiLevelType w:val="multilevel"/>
    <w:tmpl w:val="A8124C4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4" w15:restartNumberingAfterBreak="0">
    <w:nsid w:val="39FB1153"/>
    <w:multiLevelType w:val="hybridMultilevel"/>
    <w:tmpl w:val="8F481F2E"/>
    <w:lvl w:ilvl="0" w:tplc="DEE46D16">
      <w:start w:val="1"/>
      <w:numFmt w:val="decimal"/>
      <w:lvlText w:val="%1."/>
      <w:lvlJc w:val="left"/>
      <w:pPr>
        <w:tabs>
          <w:tab w:val="num" w:pos="720"/>
        </w:tabs>
        <w:ind w:left="720" w:hanging="360"/>
      </w:pPr>
    </w:lvl>
    <w:lvl w:ilvl="1" w:tplc="7C622FD4">
      <w:numFmt w:val="bullet"/>
      <w:lvlText w:val=""/>
      <w:lvlJc w:val="left"/>
      <w:pPr>
        <w:tabs>
          <w:tab w:val="num" w:pos="851"/>
        </w:tabs>
        <w:ind w:left="851" w:hanging="284"/>
      </w:pPr>
      <w:rPr>
        <w:rFonts w:ascii="Symbol" w:hAnsi="Symbol" w:hint="default"/>
        <w:color w:val="auto"/>
        <w:sz w:val="16"/>
      </w:rPr>
    </w:lvl>
    <w:lvl w:ilvl="2" w:tplc="2C784F78">
      <w:start w:val="1"/>
      <w:numFmt w:val="lowerRoman"/>
      <w:lvlText w:val="%3."/>
      <w:lvlJc w:val="right"/>
      <w:pPr>
        <w:tabs>
          <w:tab w:val="num" w:pos="2160"/>
        </w:tabs>
        <w:ind w:left="2160" w:hanging="180"/>
      </w:pPr>
    </w:lvl>
    <w:lvl w:ilvl="3" w:tplc="39F25C74">
      <w:start w:val="1"/>
      <w:numFmt w:val="decimal"/>
      <w:lvlText w:val="%4."/>
      <w:lvlJc w:val="left"/>
      <w:pPr>
        <w:tabs>
          <w:tab w:val="num" w:pos="2880"/>
        </w:tabs>
        <w:ind w:left="2880" w:hanging="360"/>
      </w:pPr>
    </w:lvl>
    <w:lvl w:ilvl="4" w:tplc="533ED37E">
      <w:start w:val="1"/>
      <w:numFmt w:val="lowerLetter"/>
      <w:lvlText w:val="%5."/>
      <w:lvlJc w:val="left"/>
      <w:pPr>
        <w:tabs>
          <w:tab w:val="num" w:pos="3600"/>
        </w:tabs>
        <w:ind w:left="3600" w:hanging="360"/>
      </w:pPr>
    </w:lvl>
    <w:lvl w:ilvl="5" w:tplc="3A7E3C8A">
      <w:start w:val="1"/>
      <w:numFmt w:val="lowerRoman"/>
      <w:lvlText w:val="%6."/>
      <w:lvlJc w:val="right"/>
      <w:pPr>
        <w:tabs>
          <w:tab w:val="num" w:pos="4320"/>
        </w:tabs>
        <w:ind w:left="4320" w:hanging="180"/>
      </w:pPr>
    </w:lvl>
    <w:lvl w:ilvl="6" w:tplc="EB3AB9DA">
      <w:start w:val="1"/>
      <w:numFmt w:val="decimal"/>
      <w:lvlText w:val="%7."/>
      <w:lvlJc w:val="left"/>
      <w:pPr>
        <w:tabs>
          <w:tab w:val="num" w:pos="5040"/>
        </w:tabs>
        <w:ind w:left="5040" w:hanging="360"/>
      </w:pPr>
    </w:lvl>
    <w:lvl w:ilvl="7" w:tplc="515CAD76">
      <w:start w:val="1"/>
      <w:numFmt w:val="lowerLetter"/>
      <w:lvlText w:val="%8."/>
      <w:lvlJc w:val="left"/>
      <w:pPr>
        <w:tabs>
          <w:tab w:val="num" w:pos="5760"/>
        </w:tabs>
        <w:ind w:left="5760" w:hanging="360"/>
      </w:pPr>
    </w:lvl>
    <w:lvl w:ilvl="8" w:tplc="14764172">
      <w:start w:val="1"/>
      <w:numFmt w:val="lowerRoman"/>
      <w:lvlText w:val="%9."/>
      <w:lvlJc w:val="right"/>
      <w:pPr>
        <w:tabs>
          <w:tab w:val="num" w:pos="6480"/>
        </w:tabs>
        <w:ind w:left="6480" w:hanging="180"/>
      </w:pPr>
    </w:lvl>
  </w:abstractNum>
  <w:abstractNum w:abstractNumId="15" w15:restartNumberingAfterBreak="0">
    <w:nsid w:val="3BCB0F5A"/>
    <w:multiLevelType w:val="hybridMultilevel"/>
    <w:tmpl w:val="6F04806A"/>
    <w:lvl w:ilvl="0" w:tplc="D61C9914">
      <w:start w:val="1"/>
      <w:numFmt w:val="decimal"/>
      <w:pStyle w:val="Numbered"/>
      <w:lvlText w:val="%1."/>
      <w:lvlJc w:val="left"/>
      <w:pPr>
        <w:ind w:left="709" w:hanging="709"/>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5653A9"/>
    <w:multiLevelType w:val="multilevel"/>
    <w:tmpl w:val="A63CF4A6"/>
    <w:lvl w:ilvl="0">
      <w:start w:val="5"/>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31A51A8"/>
    <w:multiLevelType w:val="hybridMultilevel"/>
    <w:tmpl w:val="9BF21B86"/>
    <w:lvl w:ilvl="0" w:tplc="FB72D41A">
      <w:start w:val="1"/>
      <w:numFmt w:val="decimal"/>
      <w:lvlText w:val="%1."/>
      <w:lvlJc w:val="left"/>
      <w:pPr>
        <w:tabs>
          <w:tab w:val="num" w:pos="720"/>
        </w:tabs>
        <w:ind w:left="720" w:hanging="360"/>
      </w:pPr>
    </w:lvl>
    <w:lvl w:ilvl="1" w:tplc="08090003">
      <w:start w:val="1"/>
      <w:numFmt w:val="bullet"/>
      <w:lvlText w:val="–"/>
      <w:lvlJc w:val="left"/>
      <w:pPr>
        <w:tabs>
          <w:tab w:val="num" w:pos="567"/>
        </w:tabs>
        <w:ind w:left="567" w:hanging="283"/>
      </w:pPr>
      <w:rPr>
        <w:rFonts w:ascii="Whitney Book" w:hAnsi="Whitney Book" w:hint="default"/>
        <w:b w:val="0"/>
        <w:i w:val="0"/>
        <w:sz w:val="20"/>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4074D0"/>
    <w:multiLevelType w:val="hybridMultilevel"/>
    <w:tmpl w:val="5E401A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777E6837"/>
    <w:multiLevelType w:val="multilevel"/>
    <w:tmpl w:val="614657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F250A31"/>
    <w:multiLevelType w:val="multilevel"/>
    <w:tmpl w:val="4CDE59F2"/>
    <w:lvl w:ilvl="0">
      <w:start w:val="4"/>
      <w:numFmt w:val="decimal"/>
      <w:lvlText w:val="%1"/>
      <w:lvlJc w:val="left"/>
      <w:pPr>
        <w:ind w:left="516" w:hanging="516"/>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num w:numId="1">
    <w:abstractNumId w:val="19"/>
  </w:num>
  <w:num w:numId="2">
    <w:abstractNumId w:val="18"/>
  </w:num>
  <w:num w:numId="3">
    <w:abstractNumId w:val="7"/>
  </w:num>
  <w:num w:numId="4">
    <w:abstractNumId w:val="5"/>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22"/>
  </w:num>
  <w:num w:numId="10">
    <w:abstractNumId w:val="23"/>
  </w:num>
  <w:num w:numId="11">
    <w:abstractNumId w:val="16"/>
  </w:num>
  <w:num w:numId="12">
    <w:abstractNumId w:val="21"/>
  </w:num>
  <w:num w:numId="13">
    <w:abstractNumId w:val="13"/>
  </w:num>
  <w:num w:numId="14">
    <w:abstractNumId w:val="4"/>
  </w:num>
  <w:num w:numId="15">
    <w:abstractNumId w:val="3"/>
  </w:num>
  <w:num w:numId="16">
    <w:abstractNumId w:val="2"/>
  </w:num>
  <w:num w:numId="17">
    <w:abstractNumId w:val="1"/>
  </w:num>
  <w:num w:numId="18">
    <w:abstractNumId w:val="0"/>
  </w:num>
  <w:num w:numId="19">
    <w:abstractNumId w:val="6"/>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72"/>
    <w:rsid w:val="000131BF"/>
    <w:rsid w:val="00032023"/>
    <w:rsid w:val="000369F7"/>
    <w:rsid w:val="000472CB"/>
    <w:rsid w:val="00057E8D"/>
    <w:rsid w:val="00061681"/>
    <w:rsid w:val="0007104C"/>
    <w:rsid w:val="00071EBA"/>
    <w:rsid w:val="00075EFB"/>
    <w:rsid w:val="000B3907"/>
    <w:rsid w:val="000B5D3F"/>
    <w:rsid w:val="000C07B0"/>
    <w:rsid w:val="000C1597"/>
    <w:rsid w:val="000D11A6"/>
    <w:rsid w:val="000E6A80"/>
    <w:rsid w:val="000F409D"/>
    <w:rsid w:val="000F6BA7"/>
    <w:rsid w:val="001041D9"/>
    <w:rsid w:val="00114219"/>
    <w:rsid w:val="0011760D"/>
    <w:rsid w:val="0012266F"/>
    <w:rsid w:val="00133F5C"/>
    <w:rsid w:val="00143D5E"/>
    <w:rsid w:val="00144F5A"/>
    <w:rsid w:val="001470AD"/>
    <w:rsid w:val="001539FD"/>
    <w:rsid w:val="00157021"/>
    <w:rsid w:val="00160D68"/>
    <w:rsid w:val="00161990"/>
    <w:rsid w:val="00170237"/>
    <w:rsid w:val="00175395"/>
    <w:rsid w:val="001B5F1E"/>
    <w:rsid w:val="001D4826"/>
    <w:rsid w:val="001E4B69"/>
    <w:rsid w:val="002033EC"/>
    <w:rsid w:val="0022027D"/>
    <w:rsid w:val="00220D34"/>
    <w:rsid w:val="00230E91"/>
    <w:rsid w:val="00250E0A"/>
    <w:rsid w:val="00252190"/>
    <w:rsid w:val="002646BC"/>
    <w:rsid w:val="00266EC2"/>
    <w:rsid w:val="00271364"/>
    <w:rsid w:val="002A6A89"/>
    <w:rsid w:val="002A7793"/>
    <w:rsid w:val="002B30F5"/>
    <w:rsid w:val="002B3B43"/>
    <w:rsid w:val="002D02A6"/>
    <w:rsid w:val="002D125C"/>
    <w:rsid w:val="002D6577"/>
    <w:rsid w:val="002D7BA0"/>
    <w:rsid w:val="002E2A7B"/>
    <w:rsid w:val="002F3AF2"/>
    <w:rsid w:val="002F56BF"/>
    <w:rsid w:val="002F7BBD"/>
    <w:rsid w:val="00314449"/>
    <w:rsid w:val="00324C46"/>
    <w:rsid w:val="00325F6E"/>
    <w:rsid w:val="0032710D"/>
    <w:rsid w:val="00337716"/>
    <w:rsid w:val="00345B39"/>
    <w:rsid w:val="00360B43"/>
    <w:rsid w:val="0037314E"/>
    <w:rsid w:val="00377751"/>
    <w:rsid w:val="003B54C2"/>
    <w:rsid w:val="003D301D"/>
    <w:rsid w:val="003D4CFB"/>
    <w:rsid w:val="003D6BE2"/>
    <w:rsid w:val="003E2E6B"/>
    <w:rsid w:val="003E4B07"/>
    <w:rsid w:val="00413CA5"/>
    <w:rsid w:val="00421A4C"/>
    <w:rsid w:val="004278A7"/>
    <w:rsid w:val="00433C06"/>
    <w:rsid w:val="00441B3A"/>
    <w:rsid w:val="004539A2"/>
    <w:rsid w:val="00492A50"/>
    <w:rsid w:val="004A2385"/>
    <w:rsid w:val="004A34D0"/>
    <w:rsid w:val="004A5375"/>
    <w:rsid w:val="004C22F2"/>
    <w:rsid w:val="004C4C0F"/>
    <w:rsid w:val="004E7103"/>
    <w:rsid w:val="004F28B1"/>
    <w:rsid w:val="00501B1F"/>
    <w:rsid w:val="00502139"/>
    <w:rsid w:val="005146DA"/>
    <w:rsid w:val="0052688D"/>
    <w:rsid w:val="005277C4"/>
    <w:rsid w:val="00530969"/>
    <w:rsid w:val="005312E8"/>
    <w:rsid w:val="00534047"/>
    <w:rsid w:val="00534346"/>
    <w:rsid w:val="00535F42"/>
    <w:rsid w:val="0053688C"/>
    <w:rsid w:val="00541FE5"/>
    <w:rsid w:val="005476E2"/>
    <w:rsid w:val="00551421"/>
    <w:rsid w:val="00554EAE"/>
    <w:rsid w:val="00555626"/>
    <w:rsid w:val="00560868"/>
    <w:rsid w:val="005C1265"/>
    <w:rsid w:val="005E351F"/>
    <w:rsid w:val="005E6C6B"/>
    <w:rsid w:val="00611D2D"/>
    <w:rsid w:val="00622FD7"/>
    <w:rsid w:val="0063211C"/>
    <w:rsid w:val="0063291E"/>
    <w:rsid w:val="00642EFA"/>
    <w:rsid w:val="006513AD"/>
    <w:rsid w:val="006731F4"/>
    <w:rsid w:val="00674914"/>
    <w:rsid w:val="0068222C"/>
    <w:rsid w:val="00682854"/>
    <w:rsid w:val="00684901"/>
    <w:rsid w:val="006A5010"/>
    <w:rsid w:val="006B15D1"/>
    <w:rsid w:val="006E4008"/>
    <w:rsid w:val="006E48D3"/>
    <w:rsid w:val="006F322A"/>
    <w:rsid w:val="006F6B0A"/>
    <w:rsid w:val="0071500D"/>
    <w:rsid w:val="00717D34"/>
    <w:rsid w:val="00724A09"/>
    <w:rsid w:val="00740520"/>
    <w:rsid w:val="007405EB"/>
    <w:rsid w:val="00741BC4"/>
    <w:rsid w:val="00742BD0"/>
    <w:rsid w:val="0075036F"/>
    <w:rsid w:val="00762D08"/>
    <w:rsid w:val="007761C1"/>
    <w:rsid w:val="00781C88"/>
    <w:rsid w:val="00787356"/>
    <w:rsid w:val="00793A49"/>
    <w:rsid w:val="007B12EE"/>
    <w:rsid w:val="007C4A95"/>
    <w:rsid w:val="007C7065"/>
    <w:rsid w:val="007E6590"/>
    <w:rsid w:val="007F7BA5"/>
    <w:rsid w:val="00801544"/>
    <w:rsid w:val="00810E63"/>
    <w:rsid w:val="00814509"/>
    <w:rsid w:val="00865866"/>
    <w:rsid w:val="008901D5"/>
    <w:rsid w:val="00891102"/>
    <w:rsid w:val="008A28D2"/>
    <w:rsid w:val="008B302D"/>
    <w:rsid w:val="008C496A"/>
    <w:rsid w:val="008D081A"/>
    <w:rsid w:val="008D7272"/>
    <w:rsid w:val="008E7C8B"/>
    <w:rsid w:val="0090131D"/>
    <w:rsid w:val="009112DE"/>
    <w:rsid w:val="00915714"/>
    <w:rsid w:val="009163B1"/>
    <w:rsid w:val="009245CA"/>
    <w:rsid w:val="00937E11"/>
    <w:rsid w:val="00940061"/>
    <w:rsid w:val="00956162"/>
    <w:rsid w:val="00956F74"/>
    <w:rsid w:val="009638D6"/>
    <w:rsid w:val="00963DCD"/>
    <w:rsid w:val="0097314A"/>
    <w:rsid w:val="00975C54"/>
    <w:rsid w:val="0098231E"/>
    <w:rsid w:val="0098652C"/>
    <w:rsid w:val="00990DAE"/>
    <w:rsid w:val="009921D4"/>
    <w:rsid w:val="009A2471"/>
    <w:rsid w:val="009A24BD"/>
    <w:rsid w:val="009D1292"/>
    <w:rsid w:val="009D495C"/>
    <w:rsid w:val="009F6CB9"/>
    <w:rsid w:val="00A00006"/>
    <w:rsid w:val="00A027ED"/>
    <w:rsid w:val="00A205E8"/>
    <w:rsid w:val="00A20E45"/>
    <w:rsid w:val="00A23B6D"/>
    <w:rsid w:val="00A364CA"/>
    <w:rsid w:val="00A453DB"/>
    <w:rsid w:val="00A57102"/>
    <w:rsid w:val="00A63EC0"/>
    <w:rsid w:val="00A7304E"/>
    <w:rsid w:val="00A92781"/>
    <w:rsid w:val="00A95F03"/>
    <w:rsid w:val="00AA2086"/>
    <w:rsid w:val="00AB7D84"/>
    <w:rsid w:val="00AE3AE0"/>
    <w:rsid w:val="00AF7423"/>
    <w:rsid w:val="00B04D7F"/>
    <w:rsid w:val="00B16546"/>
    <w:rsid w:val="00B26AB5"/>
    <w:rsid w:val="00B3506C"/>
    <w:rsid w:val="00B4199B"/>
    <w:rsid w:val="00B47BF1"/>
    <w:rsid w:val="00B654B9"/>
    <w:rsid w:val="00B758A5"/>
    <w:rsid w:val="00B76535"/>
    <w:rsid w:val="00B76DC6"/>
    <w:rsid w:val="00B8003A"/>
    <w:rsid w:val="00B826EE"/>
    <w:rsid w:val="00B82A81"/>
    <w:rsid w:val="00B85320"/>
    <w:rsid w:val="00B94B62"/>
    <w:rsid w:val="00BA5CB9"/>
    <w:rsid w:val="00BA6735"/>
    <w:rsid w:val="00BB7947"/>
    <w:rsid w:val="00BC7CAB"/>
    <w:rsid w:val="00BD221A"/>
    <w:rsid w:val="00BD5036"/>
    <w:rsid w:val="00BE2AC9"/>
    <w:rsid w:val="00BE31AF"/>
    <w:rsid w:val="00BE5F44"/>
    <w:rsid w:val="00C071B5"/>
    <w:rsid w:val="00C122F9"/>
    <w:rsid w:val="00C17B90"/>
    <w:rsid w:val="00C23B00"/>
    <w:rsid w:val="00C32B0E"/>
    <w:rsid w:val="00C352C3"/>
    <w:rsid w:val="00C36C01"/>
    <w:rsid w:val="00C52C74"/>
    <w:rsid w:val="00C56604"/>
    <w:rsid w:val="00C57B16"/>
    <w:rsid w:val="00C70ED0"/>
    <w:rsid w:val="00C85E51"/>
    <w:rsid w:val="00C97E59"/>
    <w:rsid w:val="00CF1C79"/>
    <w:rsid w:val="00CF3575"/>
    <w:rsid w:val="00D04A6B"/>
    <w:rsid w:val="00D22A6C"/>
    <w:rsid w:val="00D314CC"/>
    <w:rsid w:val="00D407A5"/>
    <w:rsid w:val="00D43CFB"/>
    <w:rsid w:val="00D6650A"/>
    <w:rsid w:val="00D878C1"/>
    <w:rsid w:val="00D92F9B"/>
    <w:rsid w:val="00DB201A"/>
    <w:rsid w:val="00DB35AA"/>
    <w:rsid w:val="00DB5307"/>
    <w:rsid w:val="00DB6680"/>
    <w:rsid w:val="00DC7CEC"/>
    <w:rsid w:val="00DD0075"/>
    <w:rsid w:val="00DE2F3D"/>
    <w:rsid w:val="00DF3D33"/>
    <w:rsid w:val="00E02908"/>
    <w:rsid w:val="00E36BD0"/>
    <w:rsid w:val="00E729F8"/>
    <w:rsid w:val="00E82FC4"/>
    <w:rsid w:val="00E833C9"/>
    <w:rsid w:val="00E93F7A"/>
    <w:rsid w:val="00EB1127"/>
    <w:rsid w:val="00EC064F"/>
    <w:rsid w:val="00ED1B23"/>
    <w:rsid w:val="00EE0856"/>
    <w:rsid w:val="00EE10DC"/>
    <w:rsid w:val="00EE5134"/>
    <w:rsid w:val="00EE5963"/>
    <w:rsid w:val="00EE5B0B"/>
    <w:rsid w:val="00EE6355"/>
    <w:rsid w:val="00EF11D8"/>
    <w:rsid w:val="00EF1C26"/>
    <w:rsid w:val="00EF213B"/>
    <w:rsid w:val="00F02999"/>
    <w:rsid w:val="00F04283"/>
    <w:rsid w:val="00F04C18"/>
    <w:rsid w:val="00F269F2"/>
    <w:rsid w:val="00F313FA"/>
    <w:rsid w:val="00F3271F"/>
    <w:rsid w:val="00F4228A"/>
    <w:rsid w:val="00F44BD5"/>
    <w:rsid w:val="00F715D1"/>
    <w:rsid w:val="00F720A0"/>
    <w:rsid w:val="00F74EEC"/>
    <w:rsid w:val="00F814E9"/>
    <w:rsid w:val="00F86D0D"/>
    <w:rsid w:val="00FA0E71"/>
    <w:rsid w:val="00FA3752"/>
    <w:rsid w:val="00FA5C85"/>
    <w:rsid w:val="00FA6960"/>
    <w:rsid w:val="00FB133E"/>
    <w:rsid w:val="00FB26E0"/>
    <w:rsid w:val="00FB4C5C"/>
    <w:rsid w:val="00FC6D32"/>
    <w:rsid w:val="00FD0C87"/>
    <w:rsid w:val="00FD3387"/>
    <w:rsid w:val="00FD7252"/>
    <w:rsid w:val="00FE0BC0"/>
    <w:rsid w:val="00FF13A3"/>
    <w:rsid w:val="00FF47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5F764"/>
  <w15:docId w15:val="{BFE6107B-C550-4543-AF78-8A2C9F8C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Number" w:uiPriority="6" w:qFormat="1"/>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07"/>
    <w:pPr>
      <w:spacing w:after="160" w:line="259" w:lineRule="auto"/>
    </w:pPr>
    <w:rPr>
      <w:rFonts w:ascii="Arial Narrow" w:hAnsi="Arial Narrow"/>
      <w:sz w:val="22"/>
      <w:szCs w:val="22"/>
    </w:rPr>
  </w:style>
  <w:style w:type="paragraph" w:styleId="Heading1">
    <w:name w:val="heading 1"/>
    <w:basedOn w:val="Normal"/>
    <w:next w:val="Normal"/>
    <w:link w:val="Heading1Char"/>
    <w:uiPriority w:val="5"/>
    <w:qFormat/>
    <w:rsid w:val="00B04D7F"/>
    <w:pPr>
      <w:keepNext/>
      <w:keepLines/>
      <w:numPr>
        <w:numId w:val="13"/>
      </w:numPr>
      <w:spacing w:before="24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175395"/>
    <w:pPr>
      <w:keepNext/>
      <w:keepLines/>
      <w:numPr>
        <w:ilvl w:val="1"/>
        <w:numId w:val="13"/>
      </w:numPr>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175395"/>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qFormat/>
    <w:rsid w:val="00AE3AE0"/>
    <w:pPr>
      <w:keepNext/>
      <w:keepLines/>
      <w:spacing w:before="240" w:after="120"/>
      <w:outlineLvl w:val="3"/>
    </w:pPr>
    <w:rPr>
      <w:rFonts w:asciiTheme="majorHAnsi" w:eastAsiaTheme="majorEastAsia" w:hAnsiTheme="majorHAnsi" w:cstheme="majorBidi"/>
      <w:i/>
      <w:iCs/>
      <w:color w:val="1B5782" w:themeColor="accent1" w:themeShade="BF"/>
    </w:rPr>
  </w:style>
  <w:style w:type="paragraph" w:styleId="Heading5">
    <w:name w:val="heading 5"/>
    <w:basedOn w:val="Normal"/>
    <w:next w:val="Normal"/>
    <w:link w:val="Heading5Char"/>
    <w:uiPriority w:val="9"/>
    <w:semiHidden/>
    <w:unhideWhenUsed/>
    <w:qFormat/>
    <w:rsid w:val="00B04D7F"/>
    <w:pPr>
      <w:keepNext/>
      <w:keepLines/>
      <w:spacing w:before="40" w:after="0"/>
      <w:outlineLvl w:val="4"/>
    </w:pPr>
    <w:rPr>
      <w:rFonts w:asciiTheme="majorHAnsi" w:eastAsiaTheme="majorEastAsia" w:hAnsiTheme="majorHAnsi" w:cstheme="majorBidi"/>
      <w:color w:val="1B5782" w:themeColor="accent1" w:themeShade="BF"/>
    </w:rPr>
  </w:style>
  <w:style w:type="paragraph" w:styleId="Heading6">
    <w:name w:val="heading 6"/>
    <w:basedOn w:val="Normal"/>
    <w:next w:val="Normal"/>
    <w:link w:val="Heading6Char"/>
    <w:uiPriority w:val="9"/>
    <w:semiHidden/>
    <w:unhideWhenUsed/>
    <w:qFormat/>
    <w:rsid w:val="00B04D7F"/>
    <w:pPr>
      <w:keepNext/>
      <w:keepLines/>
      <w:numPr>
        <w:ilvl w:val="5"/>
        <w:numId w:val="13"/>
      </w:numPr>
      <w:spacing w:before="40" w:after="0"/>
      <w:outlineLvl w:val="5"/>
    </w:pPr>
    <w:rPr>
      <w:rFonts w:asciiTheme="majorHAnsi" w:eastAsiaTheme="majorEastAsia" w:hAnsiTheme="majorHAnsi" w:cstheme="majorBidi"/>
      <w:color w:val="123956" w:themeColor="accent1" w:themeShade="7F"/>
    </w:rPr>
  </w:style>
  <w:style w:type="paragraph" w:styleId="Heading7">
    <w:name w:val="heading 7"/>
    <w:basedOn w:val="Normal"/>
    <w:next w:val="Normal"/>
    <w:link w:val="Heading7Char"/>
    <w:uiPriority w:val="9"/>
    <w:semiHidden/>
    <w:unhideWhenUsed/>
    <w:qFormat/>
    <w:rsid w:val="00B04D7F"/>
    <w:pPr>
      <w:keepNext/>
      <w:keepLines/>
      <w:numPr>
        <w:ilvl w:val="6"/>
        <w:numId w:val="13"/>
      </w:numPr>
      <w:spacing w:before="40" w:after="0"/>
      <w:outlineLvl w:val="6"/>
    </w:pPr>
    <w:rPr>
      <w:rFonts w:asciiTheme="majorHAnsi" w:eastAsiaTheme="majorEastAsia" w:hAnsiTheme="majorHAnsi" w:cstheme="majorBidi"/>
      <w:i/>
      <w:iCs/>
      <w:color w:val="123956" w:themeColor="accent1" w:themeShade="7F"/>
    </w:rPr>
  </w:style>
  <w:style w:type="paragraph" w:styleId="Heading8">
    <w:name w:val="heading 8"/>
    <w:basedOn w:val="Normal"/>
    <w:next w:val="Normal"/>
    <w:link w:val="Heading8Char"/>
    <w:uiPriority w:val="9"/>
    <w:semiHidden/>
    <w:unhideWhenUsed/>
    <w:qFormat/>
    <w:rsid w:val="00B04D7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4D7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B47BF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175395"/>
    <w:pPr>
      <w:numPr>
        <w:numId w:val="2"/>
      </w:numPr>
      <w:spacing w:after="0" w:line="240" w:lineRule="auto"/>
    </w:pPr>
    <w:rPr>
      <w:rFonts w:ascii="Arial" w:hAnsi="Arial"/>
      <w:b/>
      <w:bCs/>
      <w:color w:val="FFFFFF" w:themeColor="background1"/>
    </w:rPr>
  </w:style>
  <w:style w:type="paragraph" w:styleId="List5">
    <w:name w:val="List 5"/>
    <w:basedOn w:val="Normal"/>
    <w:uiPriority w:val="99"/>
    <w:semiHidden/>
    <w:unhideWhenUsed/>
    <w:rsid w:val="00175395"/>
    <w:pPr>
      <w:numPr>
        <w:numId w:val="1"/>
      </w:numPr>
      <w:contextualSpacing/>
    </w:pPr>
  </w:style>
  <w:style w:type="paragraph" w:styleId="Header">
    <w:name w:val="header"/>
    <w:basedOn w:val="Normal"/>
    <w:link w:val="HeaderChar"/>
    <w:uiPriority w:val="99"/>
    <w:unhideWhenUsed/>
    <w:rsid w:val="0017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95"/>
  </w:style>
  <w:style w:type="paragraph" w:styleId="Footer">
    <w:name w:val="footer"/>
    <w:basedOn w:val="Normal"/>
    <w:link w:val="FooterChar"/>
    <w:uiPriority w:val="99"/>
    <w:unhideWhenUsed/>
    <w:rsid w:val="00175395"/>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9"/>
    <w:rsid w:val="00175395"/>
    <w:rPr>
      <w:rFonts w:ascii="Arial" w:hAnsi="Arial"/>
      <w:caps/>
      <w:color w:val="2575AE" w:themeColor="accent1"/>
      <w:sz w:val="16"/>
    </w:rPr>
  </w:style>
  <w:style w:type="paragraph" w:styleId="Title">
    <w:name w:val="Title"/>
    <w:basedOn w:val="Normal"/>
    <w:next w:val="Normal"/>
    <w:link w:val="TitleChar"/>
    <w:uiPriority w:val="4"/>
    <w:qFormat/>
    <w:rsid w:val="00175395"/>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175395"/>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175395"/>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175395"/>
    <w:rPr>
      <w:rFonts w:eastAsiaTheme="minorEastAsia"/>
      <w:color w:val="2575AE" w:themeColor="accent1"/>
      <w:sz w:val="32"/>
      <w:szCs w:val="32"/>
    </w:rPr>
  </w:style>
  <w:style w:type="paragraph" w:customStyle="1" w:styleId="Details">
    <w:name w:val="Details"/>
    <w:basedOn w:val="Normal"/>
    <w:uiPriority w:val="97"/>
    <w:qFormat/>
    <w:rsid w:val="00175395"/>
    <w:pPr>
      <w:ind w:left="1672"/>
    </w:pPr>
    <w:rPr>
      <w:caps/>
      <w:color w:val="19456B" w:themeColor="background2"/>
    </w:rPr>
  </w:style>
  <w:style w:type="character" w:styleId="Hyperlink">
    <w:name w:val="Hyperlink"/>
    <w:basedOn w:val="DefaultParagraphFont"/>
    <w:uiPriority w:val="99"/>
    <w:unhideWhenUsed/>
    <w:rsid w:val="00175395"/>
    <w:rPr>
      <w:color w:val="0563C1" w:themeColor="hyperlink"/>
      <w:u w:val="single"/>
    </w:rPr>
  </w:style>
  <w:style w:type="character" w:customStyle="1" w:styleId="Heading1Char">
    <w:name w:val="Heading 1 Char"/>
    <w:basedOn w:val="DefaultParagraphFont"/>
    <w:link w:val="Heading1"/>
    <w:uiPriority w:val="5"/>
    <w:rsid w:val="00B04D7F"/>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175395"/>
    <w:pPr>
      <w:spacing w:after="100"/>
      <w:ind w:left="1600"/>
    </w:pPr>
  </w:style>
  <w:style w:type="character" w:customStyle="1" w:styleId="Heading2Char">
    <w:name w:val="Heading 2 Char"/>
    <w:basedOn w:val="DefaultParagraphFont"/>
    <w:link w:val="Heading2"/>
    <w:uiPriority w:val="5"/>
    <w:rsid w:val="00175395"/>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175395"/>
    <w:rPr>
      <w:rFonts w:asciiTheme="majorHAnsi" w:eastAsiaTheme="majorEastAsia" w:hAnsiTheme="majorHAnsi" w:cstheme="majorBidi"/>
      <w:b/>
      <w:color w:val="000000" w:themeColor="text1"/>
      <w:sz w:val="22"/>
      <w:szCs w:val="22"/>
    </w:rPr>
  </w:style>
  <w:style w:type="paragraph" w:styleId="TOC1">
    <w:name w:val="toc 1"/>
    <w:basedOn w:val="Normal"/>
    <w:next w:val="Normal"/>
    <w:autoRedefine/>
    <w:uiPriority w:val="39"/>
    <w:unhideWhenUsed/>
    <w:rsid w:val="00175395"/>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75395"/>
    <w:pPr>
      <w:outlineLvl w:val="9"/>
    </w:pPr>
    <w:rPr>
      <w:caps w:val="0"/>
      <w:color w:val="19456B" w:themeColor="background2"/>
      <w:sz w:val="20"/>
      <w:lang w:val="en-US"/>
    </w:rPr>
  </w:style>
  <w:style w:type="paragraph" w:styleId="ListParagraph">
    <w:name w:val="List Paragraph"/>
    <w:basedOn w:val="Normal"/>
    <w:uiPriority w:val="34"/>
    <w:qFormat/>
    <w:rsid w:val="00175395"/>
    <w:pPr>
      <w:ind w:left="720"/>
      <w:contextualSpacing/>
    </w:pPr>
  </w:style>
  <w:style w:type="paragraph" w:styleId="List">
    <w:name w:val="List"/>
    <w:basedOn w:val="Normal"/>
    <w:uiPriority w:val="99"/>
    <w:semiHidden/>
    <w:rsid w:val="00175395"/>
    <w:pPr>
      <w:numPr>
        <w:numId w:val="6"/>
      </w:numPr>
    </w:pPr>
  </w:style>
  <w:style w:type="paragraph" w:styleId="List2">
    <w:name w:val="List 2"/>
    <w:basedOn w:val="Normal"/>
    <w:uiPriority w:val="7"/>
    <w:rsid w:val="00175395"/>
    <w:pPr>
      <w:numPr>
        <w:ilvl w:val="1"/>
        <w:numId w:val="6"/>
      </w:numPr>
    </w:pPr>
  </w:style>
  <w:style w:type="paragraph" w:styleId="ListBullet">
    <w:name w:val="List Bullet"/>
    <w:basedOn w:val="Normal"/>
    <w:uiPriority w:val="7"/>
    <w:rsid w:val="00A364CA"/>
    <w:pPr>
      <w:numPr>
        <w:numId w:val="3"/>
      </w:numPr>
      <w:tabs>
        <w:tab w:val="clear" w:pos="360"/>
      </w:tabs>
      <w:spacing w:after="60"/>
      <w:ind w:left="284" w:hanging="284"/>
    </w:pPr>
  </w:style>
  <w:style w:type="paragraph" w:styleId="ListBullet2">
    <w:name w:val="List Bullet 2"/>
    <w:basedOn w:val="Normal"/>
    <w:uiPriority w:val="7"/>
    <w:rsid w:val="00175395"/>
    <w:pPr>
      <w:numPr>
        <w:numId w:val="4"/>
      </w:numPr>
      <w:ind w:left="567" w:hanging="283"/>
    </w:pPr>
  </w:style>
  <w:style w:type="table" w:styleId="TableGrid">
    <w:name w:val="Table Grid"/>
    <w:basedOn w:val="TableNormal"/>
    <w:uiPriority w:val="59"/>
    <w:rsid w:val="0017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175395"/>
    <w:pPr>
      <w:pBdr>
        <w:left w:val="single" w:sz="4" w:space="15" w:color="2575AE" w:themeColor="accent1"/>
      </w:pBdr>
      <w:spacing w:line="240" w:lineRule="exact"/>
      <w:ind w:left="227" w:right="2268"/>
    </w:pPr>
    <w:rPr>
      <w:color w:val="2575AE" w:themeColor="accent1"/>
    </w:rPr>
  </w:style>
  <w:style w:type="paragraph" w:customStyle="1" w:styleId="GreenTextIndent">
    <w:name w:val="Green Text Indent"/>
    <w:uiPriority w:val="4"/>
    <w:qFormat/>
    <w:rsid w:val="00175395"/>
    <w:pPr>
      <w:pBdr>
        <w:left w:val="single" w:sz="4" w:space="15" w:color="AFBD22" w:themeColor="text2"/>
      </w:pBdr>
      <w:spacing w:line="240" w:lineRule="exact"/>
      <w:ind w:left="227" w:right="2268"/>
    </w:pPr>
    <w:rPr>
      <w:color w:val="AFBD22" w:themeColor="text2"/>
    </w:rPr>
  </w:style>
  <w:style w:type="character" w:styleId="PlaceholderText">
    <w:name w:val="Placeholder Text"/>
    <w:basedOn w:val="DefaultParagraphFont"/>
    <w:uiPriority w:val="99"/>
    <w:semiHidden/>
    <w:rsid w:val="00175395"/>
    <w:rPr>
      <w:color w:val="808080"/>
    </w:rPr>
  </w:style>
  <w:style w:type="table" w:customStyle="1" w:styleId="TableGridLight1">
    <w:name w:val="Table Grid Light1"/>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6"/>
    <w:qFormat/>
    <w:rsid w:val="00175395"/>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175395"/>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175395"/>
    <w:pPr>
      <w:numPr>
        <w:ilvl w:val="2"/>
        <w:numId w:val="5"/>
      </w:numPr>
      <w:spacing w:before="240"/>
      <w:contextualSpacing/>
    </w:pPr>
    <w:rPr>
      <w:b/>
    </w:rPr>
  </w:style>
  <w:style w:type="paragraph" w:styleId="TOC2">
    <w:name w:val="toc 2"/>
    <w:basedOn w:val="Normal"/>
    <w:next w:val="Normal"/>
    <w:autoRedefine/>
    <w:uiPriority w:val="39"/>
    <w:unhideWhenUsed/>
    <w:rsid w:val="00175395"/>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175395"/>
    <w:pPr>
      <w:spacing w:after="100"/>
      <w:ind w:left="400"/>
    </w:pPr>
  </w:style>
  <w:style w:type="paragraph" w:styleId="NoSpacing">
    <w:name w:val="No Spacing"/>
    <w:uiPriority w:val="1"/>
    <w:qFormat/>
    <w:rsid w:val="00175395"/>
    <w:pPr>
      <w:spacing w:after="0" w:line="240" w:lineRule="auto"/>
    </w:pPr>
  </w:style>
  <w:style w:type="paragraph" w:customStyle="1" w:styleId="InformationPageNormal">
    <w:name w:val="Information Page Normal"/>
    <w:uiPriority w:val="1"/>
    <w:qFormat/>
    <w:rsid w:val="00175395"/>
    <w:pPr>
      <w:ind w:right="-1418"/>
    </w:pPr>
  </w:style>
  <w:style w:type="paragraph" w:customStyle="1" w:styleId="ListNumbering">
    <w:name w:val="List Numbering"/>
    <w:basedOn w:val="ListBullet"/>
    <w:uiPriority w:val="6"/>
    <w:qFormat/>
    <w:rsid w:val="00175395"/>
    <w:pPr>
      <w:numPr>
        <w:numId w:val="7"/>
      </w:numPr>
    </w:pPr>
  </w:style>
  <w:style w:type="paragraph" w:styleId="BalloonText">
    <w:name w:val="Balloon Text"/>
    <w:basedOn w:val="Normal"/>
    <w:link w:val="BalloonTextChar"/>
    <w:uiPriority w:val="99"/>
    <w:semiHidden/>
    <w:unhideWhenUsed/>
    <w:rsid w:val="00B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B9"/>
    <w:rPr>
      <w:rFonts w:ascii="Tahoma" w:hAnsi="Tahoma" w:cs="Tahoma"/>
      <w:sz w:val="16"/>
      <w:szCs w:val="16"/>
    </w:rPr>
  </w:style>
  <w:style w:type="table" w:customStyle="1" w:styleId="GridTableLight1">
    <w:name w:val="Grid Table Light1"/>
    <w:basedOn w:val="TableNormal"/>
    <w:uiPriority w:val="40"/>
    <w:rsid w:val="0006168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492A50"/>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492A50"/>
    <w:rPr>
      <w:rFonts w:eastAsia="Times New Roman" w:cs="Times New Roman"/>
      <w:szCs w:val="24"/>
      <w:lang w:eastAsia="en-GB"/>
    </w:rPr>
  </w:style>
  <w:style w:type="paragraph" w:customStyle="1" w:styleId="Contactinfo">
    <w:name w:val="Contact info"/>
    <w:basedOn w:val="Normal"/>
    <w:semiHidden/>
    <w:locked/>
    <w:rsid w:val="00EE6355"/>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C071B5"/>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92F9B"/>
    <w:pPr>
      <w:spacing w:after="0" w:line="240" w:lineRule="auto"/>
    </w:pPr>
  </w:style>
  <w:style w:type="character" w:customStyle="1" w:styleId="FootnoteTextChar">
    <w:name w:val="Footnote Text Char"/>
    <w:basedOn w:val="DefaultParagraphFont"/>
    <w:link w:val="FootnoteText"/>
    <w:uiPriority w:val="99"/>
    <w:semiHidden/>
    <w:rsid w:val="00D92F9B"/>
  </w:style>
  <w:style w:type="character" w:styleId="FootnoteReference">
    <w:name w:val="footnote reference"/>
    <w:basedOn w:val="DefaultParagraphFont"/>
    <w:uiPriority w:val="99"/>
    <w:semiHidden/>
    <w:unhideWhenUsed/>
    <w:rsid w:val="00D92F9B"/>
    <w:rPr>
      <w:vertAlign w:val="superscript"/>
    </w:rPr>
  </w:style>
  <w:style w:type="table" w:styleId="ListTable3-Accent1">
    <w:name w:val="List Table 3 Accent 1"/>
    <w:basedOn w:val="TableNormal"/>
    <w:uiPriority w:val="48"/>
    <w:rsid w:val="0017539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175395"/>
    <w:pPr>
      <w:spacing w:after="0" w:line="240" w:lineRule="auto"/>
    </w:pPr>
    <w:tblPr>
      <w:tblCellMar>
        <w:left w:w="0" w:type="dxa"/>
        <w:right w:w="0" w:type="dxa"/>
      </w:tblCellMar>
    </w:tblPr>
    <w:tcPr>
      <w:shd w:val="clear" w:color="auto" w:fill="auto"/>
    </w:tcPr>
  </w:style>
  <w:style w:type="paragraph" w:customStyle="1" w:styleId="Numbered">
    <w:name w:val="Numbered"/>
    <w:basedOn w:val="Normal"/>
    <w:qFormat/>
    <w:rsid w:val="00956162"/>
    <w:pPr>
      <w:keepNext/>
      <w:numPr>
        <w:numId w:val="8"/>
      </w:numPr>
      <w:spacing w:before="240" w:after="120"/>
    </w:pPr>
    <w:rPr>
      <w:b/>
      <w:bCs/>
      <w:sz w:val="20"/>
      <w:szCs w:val="20"/>
      <w:lang w:val="en-AU"/>
    </w:rPr>
  </w:style>
  <w:style w:type="paragraph" w:customStyle="1" w:styleId="Indent">
    <w:name w:val="Indent"/>
    <w:basedOn w:val="Normal"/>
    <w:qFormat/>
    <w:rsid w:val="00F44BD5"/>
    <w:pPr>
      <w:ind w:left="709"/>
    </w:pPr>
    <w:rPr>
      <w:rFonts w:cs="Lucida Sans"/>
      <w:sz w:val="20"/>
      <w:szCs w:val="20"/>
      <w:lang w:eastAsia="en-GB"/>
    </w:rPr>
  </w:style>
  <w:style w:type="paragraph" w:customStyle="1" w:styleId="ListLetter">
    <w:name w:val="List Letter"/>
    <w:basedOn w:val="ListNumber"/>
    <w:next w:val="BodyText"/>
    <w:uiPriority w:val="5"/>
    <w:qFormat/>
    <w:locked/>
    <w:rsid w:val="007E6590"/>
    <w:pPr>
      <w:numPr>
        <w:numId w:val="0"/>
      </w:numPr>
      <w:spacing w:after="80" w:line="276" w:lineRule="auto"/>
      <w:ind w:left="357" w:hanging="357"/>
    </w:pPr>
    <w:rPr>
      <w:rFonts w:ascii="Lucida Sans" w:hAnsi="Lucida Sans"/>
      <w:b w:val="0"/>
      <w:caps w:val="0"/>
      <w:color w:val="auto"/>
      <w:sz w:val="20"/>
      <w:szCs w:val="22"/>
    </w:rPr>
  </w:style>
  <w:style w:type="paragraph" w:customStyle="1" w:styleId="Numberedheading2">
    <w:name w:val="Numbered heading 2"/>
    <w:basedOn w:val="Normal"/>
    <w:next w:val="Normal"/>
    <w:uiPriority w:val="14"/>
    <w:qFormat/>
    <w:rsid w:val="007E6590"/>
    <w:pPr>
      <w:spacing w:after="200" w:line="276" w:lineRule="auto"/>
      <w:ind w:left="720" w:hanging="720"/>
    </w:pPr>
    <w:rPr>
      <w:rFonts w:ascii="Lucida Sans" w:eastAsiaTheme="majorEastAsia" w:hAnsi="Lucida Sans" w:cstheme="majorBidi"/>
      <w:b/>
      <w:bCs/>
      <w:caps/>
      <w:color w:val="AFBD21"/>
      <w:sz w:val="40"/>
      <w:szCs w:val="28"/>
    </w:rPr>
  </w:style>
  <w:style w:type="paragraph" w:customStyle="1" w:styleId="Numberedparagraph">
    <w:name w:val="Numbered paragraph"/>
    <w:basedOn w:val="Normal"/>
    <w:next w:val="Normal"/>
    <w:uiPriority w:val="9"/>
    <w:qFormat/>
    <w:rsid w:val="007E6590"/>
    <w:pPr>
      <w:spacing w:after="200" w:line="276" w:lineRule="auto"/>
      <w:ind w:left="720" w:hanging="720"/>
    </w:pPr>
    <w:rPr>
      <w:rFonts w:ascii="Lucida Sans" w:eastAsiaTheme="majorEastAsia" w:hAnsi="Lucida Sans" w:cstheme="majorBidi"/>
      <w:b/>
      <w:bCs/>
      <w:color w:val="00456A"/>
      <w:sz w:val="32"/>
      <w:szCs w:val="26"/>
    </w:rPr>
  </w:style>
  <w:style w:type="paragraph" w:customStyle="1" w:styleId="Numberedparagraph2">
    <w:name w:val="Numbered paragraph 2"/>
    <w:basedOn w:val="Normal"/>
    <w:next w:val="Normal"/>
    <w:uiPriority w:val="10"/>
    <w:qFormat/>
    <w:rsid w:val="007E6590"/>
    <w:pPr>
      <w:spacing w:after="200" w:line="276" w:lineRule="auto"/>
      <w:ind w:left="720" w:hanging="720"/>
    </w:pPr>
    <w:rPr>
      <w:rFonts w:ascii="Lucida Sans" w:hAnsi="Lucida Sans"/>
      <w:b/>
      <w:sz w:val="20"/>
    </w:rPr>
  </w:style>
  <w:style w:type="paragraph" w:styleId="BodyText">
    <w:name w:val="Body Text"/>
    <w:basedOn w:val="Normal"/>
    <w:link w:val="BodyTextChar"/>
    <w:uiPriority w:val="99"/>
    <w:unhideWhenUsed/>
    <w:rsid w:val="007E6590"/>
    <w:pPr>
      <w:spacing w:after="120"/>
    </w:pPr>
  </w:style>
  <w:style w:type="character" w:customStyle="1" w:styleId="BodyTextChar">
    <w:name w:val="Body Text Char"/>
    <w:basedOn w:val="DefaultParagraphFont"/>
    <w:link w:val="BodyText"/>
    <w:uiPriority w:val="99"/>
    <w:rsid w:val="007E6590"/>
    <w:rPr>
      <w:sz w:val="22"/>
      <w:szCs w:val="22"/>
    </w:rPr>
  </w:style>
  <w:style w:type="character" w:customStyle="1" w:styleId="Heading4Char">
    <w:name w:val="Heading 4 Char"/>
    <w:basedOn w:val="DefaultParagraphFont"/>
    <w:link w:val="Heading4"/>
    <w:uiPriority w:val="9"/>
    <w:semiHidden/>
    <w:rsid w:val="00AE3AE0"/>
    <w:rPr>
      <w:rFonts w:asciiTheme="majorHAnsi" w:eastAsiaTheme="majorEastAsia" w:hAnsiTheme="majorHAnsi" w:cstheme="majorBidi"/>
      <w:i/>
      <w:iCs/>
      <w:color w:val="1B5782" w:themeColor="accent1" w:themeShade="BF"/>
      <w:sz w:val="22"/>
      <w:szCs w:val="22"/>
    </w:rPr>
  </w:style>
  <w:style w:type="character" w:customStyle="1" w:styleId="Heading5Char">
    <w:name w:val="Heading 5 Char"/>
    <w:basedOn w:val="DefaultParagraphFont"/>
    <w:link w:val="Heading5"/>
    <w:uiPriority w:val="9"/>
    <w:semiHidden/>
    <w:rsid w:val="00B04D7F"/>
    <w:rPr>
      <w:rFonts w:asciiTheme="majorHAnsi" w:eastAsiaTheme="majorEastAsia" w:hAnsiTheme="majorHAnsi" w:cstheme="majorBidi"/>
      <w:color w:val="1B5782" w:themeColor="accent1" w:themeShade="BF"/>
      <w:sz w:val="22"/>
      <w:szCs w:val="22"/>
    </w:rPr>
  </w:style>
  <w:style w:type="character" w:customStyle="1" w:styleId="Heading6Char">
    <w:name w:val="Heading 6 Char"/>
    <w:basedOn w:val="DefaultParagraphFont"/>
    <w:link w:val="Heading6"/>
    <w:uiPriority w:val="9"/>
    <w:semiHidden/>
    <w:rsid w:val="00B04D7F"/>
    <w:rPr>
      <w:rFonts w:asciiTheme="majorHAnsi" w:eastAsiaTheme="majorEastAsia" w:hAnsiTheme="majorHAnsi" w:cstheme="majorBidi"/>
      <w:color w:val="123956" w:themeColor="accent1" w:themeShade="7F"/>
      <w:sz w:val="22"/>
      <w:szCs w:val="22"/>
    </w:rPr>
  </w:style>
  <w:style w:type="character" w:customStyle="1" w:styleId="Heading7Char">
    <w:name w:val="Heading 7 Char"/>
    <w:basedOn w:val="DefaultParagraphFont"/>
    <w:link w:val="Heading7"/>
    <w:uiPriority w:val="9"/>
    <w:semiHidden/>
    <w:rsid w:val="00B04D7F"/>
    <w:rPr>
      <w:rFonts w:asciiTheme="majorHAnsi" w:eastAsiaTheme="majorEastAsia" w:hAnsiTheme="majorHAnsi" w:cstheme="majorBidi"/>
      <w:i/>
      <w:iCs/>
      <w:color w:val="123956" w:themeColor="accent1" w:themeShade="7F"/>
      <w:sz w:val="22"/>
      <w:szCs w:val="22"/>
    </w:rPr>
  </w:style>
  <w:style w:type="character" w:customStyle="1" w:styleId="Heading8Char">
    <w:name w:val="Heading 8 Char"/>
    <w:basedOn w:val="DefaultParagraphFont"/>
    <w:link w:val="Heading8"/>
    <w:uiPriority w:val="9"/>
    <w:semiHidden/>
    <w:rsid w:val="00B04D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4D7F"/>
    <w:rPr>
      <w:rFonts w:asciiTheme="majorHAnsi" w:eastAsiaTheme="majorEastAsia" w:hAnsiTheme="majorHAnsi" w:cstheme="majorBidi"/>
      <w:i/>
      <w:iCs/>
      <w:color w:val="272727" w:themeColor="text1" w:themeTint="D8"/>
      <w:sz w:val="21"/>
      <w:szCs w:val="21"/>
    </w:rPr>
  </w:style>
  <w:style w:type="table" w:styleId="GridTable4-Accent1">
    <w:name w:val="Grid Table 4 Accent 1"/>
    <w:basedOn w:val="TableNormal"/>
    <w:uiPriority w:val="49"/>
    <w:rsid w:val="00E82FC4"/>
    <w:pPr>
      <w:spacing w:after="0" w:line="240" w:lineRule="auto"/>
    </w:p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table" w:customStyle="1" w:styleId="Style1">
    <w:name w:val="Style1"/>
    <w:basedOn w:val="TableNormal"/>
    <w:uiPriority w:val="99"/>
    <w:rsid w:val="00ED1B23"/>
    <w:pPr>
      <w:spacing w:after="0" w:line="240" w:lineRule="auto"/>
    </w:pPr>
    <w:tblPr/>
  </w:style>
  <w:style w:type="table" w:customStyle="1" w:styleId="TableGrid1">
    <w:name w:val="Table Grid1"/>
    <w:basedOn w:val="TableNormal"/>
    <w:next w:val="TableGrid"/>
    <w:uiPriority w:val="59"/>
    <w:rsid w:val="00DB530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mac\Downloads\Appendix-XXVIII-Large-stage-1-procurement-pla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4D367773240829E4B49E6AE60CC12"/>
        <w:category>
          <w:name w:val="General"/>
          <w:gallery w:val="placeholder"/>
        </w:category>
        <w:types>
          <w:type w:val="bbPlcHdr"/>
        </w:types>
        <w:behaviors>
          <w:behavior w:val="content"/>
        </w:behaviors>
        <w:guid w:val="{955E7900-93F8-437A-86B9-F8CFF882945D}"/>
      </w:docPartPr>
      <w:docPartBody>
        <w:p w:rsidR="00230BA0" w:rsidRDefault="00E76CC3">
          <w:pPr>
            <w:pStyle w:val="01F4D367773240829E4B49E6AE60CC12"/>
          </w:pPr>
          <w:r w:rsidRPr="002D125C">
            <w:rPr>
              <w:rStyle w:val="PlaceholderText"/>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A10000FF" w:usb1="4000005B" w:usb2="00000000" w:usb3="00000000" w:csb0="0000000B"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C3"/>
    <w:rsid w:val="00230BA0"/>
    <w:rsid w:val="00E76C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F4D367773240829E4B49E6AE60CC12">
    <w:name w:val="01F4D367773240829E4B49E6AE60C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915722A244B48A4135D7547CFE529" ma:contentTypeVersion="4" ma:contentTypeDescription="Create a new document." ma:contentTypeScope="" ma:versionID="36defff8d94b3006edbd4c654d138b24">
  <xsd:schema xmlns:xsd="http://www.w3.org/2001/XMLSchema" xmlns:xs="http://www.w3.org/2001/XMLSchema" xmlns:p="http://schemas.microsoft.com/office/2006/metadata/properties" xmlns:ns2="e46fcae8-b6b7-4331-84eb-0fba1dfc2b5e" targetNamespace="http://schemas.microsoft.com/office/2006/metadata/properties" ma:root="true" ma:fieldsID="8cb5fa8c1dacc9e719396af5ed4cf797" ns2:_="">
    <xsd:import namespace="e46fcae8-b6b7-4331-84eb-0fba1dfc2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cae8-b6b7-4331-84eb-0fba1dfc2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6EF1-83BD-450D-90C9-8DAD1C48094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e46fcae8-b6b7-4331-84eb-0fba1dfc2b5e"/>
    <ds:schemaRef ds:uri="http://www.w3.org/XML/1998/namespace"/>
    <ds:schemaRef ds:uri="http://purl.org/dc/dcmitype/"/>
  </ds:schemaRefs>
</ds:datastoreItem>
</file>

<file path=customXml/itemProps2.xml><?xml version="1.0" encoding="utf-8"?>
<ds:datastoreItem xmlns:ds="http://schemas.openxmlformats.org/officeDocument/2006/customXml" ds:itemID="{41B5B8B6-3C65-4A01-AE9B-D3A49569BAF4}">
  <ds:schemaRefs>
    <ds:schemaRef ds:uri="http://schemas.microsoft.com/sharepoint/v3/contenttype/forms"/>
  </ds:schemaRefs>
</ds:datastoreItem>
</file>

<file path=customXml/itemProps3.xml><?xml version="1.0" encoding="utf-8"?>
<ds:datastoreItem xmlns:ds="http://schemas.openxmlformats.org/officeDocument/2006/customXml" ds:itemID="{A91F6303-0706-431C-90D1-530B9192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cae8-b6b7-4331-84eb-0fba1dfc2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D0C5-0C9E-4C13-BD53-6E3CF109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Appendix-XXVIII-Large-stage-1-procurement-plan (2)</Template>
  <TotalTime>5</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Contract Procedures Manual (SM021) Part A – Appendix XXVIII</vt:lpstr>
    </vt:vector>
  </TitlesOfParts>
  <Company>NZ Transport Agency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Procedures Manual (SM021) Part A – Appendix XXVIII</dc:title>
  <dc:creator>Laura Macready</dc:creator>
  <dc:description>Created by www.allfields.co.nz</dc:description>
  <cp:lastModifiedBy>Laura Macready</cp:lastModifiedBy>
  <cp:revision>3</cp:revision>
  <dcterms:created xsi:type="dcterms:W3CDTF">2020-08-19T21:18:00Z</dcterms:created>
  <dcterms:modified xsi:type="dcterms:W3CDTF">2020-08-28T00:15:00Z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0x010100BB6915722A244B48A4135D7547CFE529</vt:lpwstr>
  </property>
</Properties>
</file>