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5FA" w:rsidRDefault="00D725FA" w:rsidP="0098629C">
      <w:pPr>
        <w:pStyle w:val="Contactinfo"/>
        <w:ind w:left="0"/>
      </w:pPr>
    </w:p>
    <w:bookmarkStart w:id="0" w:name="bkmuseraddress"/>
    <w:p w:rsidR="00E16FBC" w:rsidRPr="00BB15E3" w:rsidRDefault="00BB15E3" w:rsidP="00BB15E3">
      <w:pPr>
        <w:pStyle w:val="Contactinfo"/>
        <w:spacing w:after="200" w:line="240" w:lineRule="auto"/>
        <w:ind w:left="0"/>
        <w:rPr>
          <w:color w:val="FFFFFF"/>
          <w:sz w:val="10"/>
          <w:szCs w:val="10"/>
        </w:rPr>
      </w:pPr>
      <w:r w:rsidRPr="00640A83">
        <w:rPr>
          <w:color w:val="FFFFFF"/>
          <w:sz w:val="10"/>
          <w:szCs w:val="10"/>
        </w:rPr>
        <w:fldChar w:fldCharType="begin"/>
      </w:r>
      <w:r w:rsidRPr="00640A83">
        <w:rPr>
          <w:color w:val="FFFFFF"/>
          <w:sz w:val="10"/>
          <w:szCs w:val="10"/>
        </w:rPr>
        <w:instrText xml:space="preserve"> USERADDRESS  \* Caps  \* MERGEFORMAT </w:instrText>
      </w:r>
      <w:r w:rsidRPr="00640A83">
        <w:rPr>
          <w:color w:val="FFFFFF"/>
          <w:sz w:val="10"/>
          <w:szCs w:val="10"/>
        </w:rPr>
        <w:fldChar w:fldCharType="end"/>
      </w:r>
      <w:bookmarkEnd w:id="0"/>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4"/>
        <w:gridCol w:w="283"/>
        <w:gridCol w:w="7655"/>
      </w:tblGrid>
      <w:tr w:rsidR="00BD7DE7" w:rsidRPr="00907CAC" w:rsidTr="00907CAC">
        <w:trPr>
          <w:trHeight w:val="434"/>
        </w:trPr>
        <w:tc>
          <w:tcPr>
            <w:tcW w:w="1384" w:type="dxa"/>
            <w:shd w:val="clear" w:color="auto" w:fill="auto"/>
          </w:tcPr>
          <w:p w:rsidR="00BD7DE7" w:rsidRPr="00907CAC" w:rsidRDefault="00BD7DE7" w:rsidP="00907CAC">
            <w:pPr>
              <w:pStyle w:val="Contactinfo"/>
              <w:spacing w:line="240" w:lineRule="auto"/>
              <w:ind w:left="0"/>
              <w:rPr>
                <w:b/>
                <w:bCs/>
                <w:sz w:val="18"/>
                <w:szCs w:val="18"/>
              </w:rPr>
            </w:pPr>
            <w:r w:rsidRPr="00907CAC">
              <w:rPr>
                <w:b/>
                <w:bCs/>
                <w:sz w:val="18"/>
                <w:szCs w:val="18"/>
              </w:rPr>
              <w:t>Date</w:t>
            </w:r>
            <w:r w:rsidRPr="00907CAC">
              <w:rPr>
                <w:b/>
                <w:bCs/>
                <w:sz w:val="18"/>
                <w:szCs w:val="18"/>
              </w:rPr>
              <w:br/>
            </w:r>
          </w:p>
        </w:tc>
        <w:tc>
          <w:tcPr>
            <w:tcW w:w="283" w:type="dxa"/>
            <w:shd w:val="clear" w:color="auto" w:fill="auto"/>
          </w:tcPr>
          <w:p w:rsidR="00BD7DE7" w:rsidRPr="00907CAC" w:rsidRDefault="00BD7DE7" w:rsidP="00907CAC">
            <w:pPr>
              <w:pStyle w:val="Contactinfo"/>
              <w:spacing w:line="280" w:lineRule="exact"/>
              <w:ind w:left="0"/>
              <w:rPr>
                <w:sz w:val="18"/>
                <w:szCs w:val="18"/>
              </w:rPr>
            </w:pPr>
          </w:p>
        </w:tc>
        <w:tc>
          <w:tcPr>
            <w:tcW w:w="7655" w:type="dxa"/>
            <w:shd w:val="clear" w:color="auto" w:fill="auto"/>
          </w:tcPr>
          <w:p w:rsidR="00BD7DE7" w:rsidRPr="00907CAC" w:rsidRDefault="001D5F30" w:rsidP="00F841E3">
            <w:pPr>
              <w:pStyle w:val="Contactinfo"/>
              <w:spacing w:line="240" w:lineRule="auto"/>
              <w:ind w:left="0"/>
              <w:rPr>
                <w:sz w:val="18"/>
                <w:szCs w:val="18"/>
              </w:rPr>
            </w:pPr>
            <w:bookmarkStart w:id="1" w:name="bkmDate"/>
            <w:r>
              <w:rPr>
                <w:sz w:val="18"/>
                <w:szCs w:val="18"/>
              </w:rPr>
              <w:t>18 August 2015</w:t>
            </w:r>
            <w:r w:rsidR="00F841E3">
              <w:rPr>
                <w:sz w:val="18"/>
                <w:szCs w:val="18"/>
              </w:rPr>
              <w:t xml:space="preserve"> - links updated 10 August 2018</w:t>
            </w:r>
            <w:r w:rsidR="00842252" w:rsidRPr="00907CAC">
              <w:rPr>
                <w:sz w:val="18"/>
                <w:szCs w:val="18"/>
              </w:rPr>
              <w:t xml:space="preserve">  </w:t>
            </w:r>
            <w:bookmarkEnd w:id="1"/>
          </w:p>
        </w:tc>
      </w:tr>
      <w:tr w:rsidR="00600749" w:rsidRPr="00907CAC" w:rsidTr="00907CAC">
        <w:trPr>
          <w:trHeight w:val="434"/>
        </w:trPr>
        <w:tc>
          <w:tcPr>
            <w:tcW w:w="1384" w:type="dxa"/>
            <w:shd w:val="clear" w:color="auto" w:fill="auto"/>
          </w:tcPr>
          <w:p w:rsidR="00600749" w:rsidRPr="00907CAC" w:rsidRDefault="00600749" w:rsidP="00907CAC">
            <w:pPr>
              <w:pStyle w:val="Contactinfo"/>
              <w:spacing w:line="240" w:lineRule="auto"/>
              <w:ind w:left="0"/>
              <w:rPr>
                <w:b/>
                <w:bCs/>
                <w:sz w:val="18"/>
                <w:szCs w:val="18"/>
              </w:rPr>
            </w:pPr>
            <w:r w:rsidRPr="00907CAC">
              <w:rPr>
                <w:b/>
                <w:bCs/>
                <w:sz w:val="18"/>
                <w:szCs w:val="18"/>
              </w:rPr>
              <w:t>Author</w:t>
            </w:r>
            <w:r w:rsidRPr="00907CAC">
              <w:rPr>
                <w:b/>
                <w:bCs/>
                <w:sz w:val="18"/>
                <w:szCs w:val="18"/>
              </w:rPr>
              <w:br/>
            </w:r>
          </w:p>
        </w:tc>
        <w:tc>
          <w:tcPr>
            <w:tcW w:w="283" w:type="dxa"/>
            <w:shd w:val="clear" w:color="auto" w:fill="auto"/>
          </w:tcPr>
          <w:p w:rsidR="00600749" w:rsidRPr="00907CAC" w:rsidRDefault="00600749" w:rsidP="00907CAC">
            <w:pPr>
              <w:pStyle w:val="Contactinfo"/>
              <w:spacing w:line="280" w:lineRule="exact"/>
              <w:ind w:left="0"/>
              <w:rPr>
                <w:sz w:val="18"/>
                <w:szCs w:val="18"/>
              </w:rPr>
            </w:pPr>
          </w:p>
        </w:tc>
        <w:tc>
          <w:tcPr>
            <w:tcW w:w="7655" w:type="dxa"/>
            <w:shd w:val="clear" w:color="auto" w:fill="auto"/>
          </w:tcPr>
          <w:p w:rsidR="00600749" w:rsidRPr="00907CAC" w:rsidRDefault="001D5F30" w:rsidP="00907CAC">
            <w:pPr>
              <w:pStyle w:val="Contactinfo"/>
              <w:spacing w:line="240" w:lineRule="auto"/>
              <w:ind w:left="0"/>
              <w:rPr>
                <w:sz w:val="18"/>
                <w:szCs w:val="18"/>
              </w:rPr>
            </w:pPr>
            <w:bookmarkStart w:id="2" w:name="bkmsignoff"/>
            <w:r>
              <w:rPr>
                <w:sz w:val="18"/>
                <w:szCs w:val="18"/>
              </w:rPr>
              <w:t>Bernard Cuttance</w:t>
            </w:r>
            <w:r w:rsidR="00842252" w:rsidRPr="00907CAC">
              <w:rPr>
                <w:sz w:val="18"/>
                <w:szCs w:val="18"/>
              </w:rPr>
              <w:t xml:space="preserve">  </w:t>
            </w:r>
            <w:bookmarkEnd w:id="2"/>
          </w:p>
        </w:tc>
      </w:tr>
      <w:tr w:rsidR="00BD7DE7" w:rsidRPr="00907CAC" w:rsidTr="00907CAC">
        <w:tc>
          <w:tcPr>
            <w:tcW w:w="1384" w:type="dxa"/>
            <w:tcBorders>
              <w:bottom w:val="single" w:sz="4" w:space="0" w:color="auto"/>
            </w:tcBorders>
            <w:shd w:val="clear" w:color="auto" w:fill="auto"/>
          </w:tcPr>
          <w:p w:rsidR="00BD7DE7" w:rsidRPr="00907CAC" w:rsidRDefault="00BD7DE7" w:rsidP="00907CAC">
            <w:pPr>
              <w:pStyle w:val="Contactinfo"/>
              <w:spacing w:line="240" w:lineRule="auto"/>
              <w:ind w:left="0"/>
              <w:rPr>
                <w:b/>
                <w:bCs/>
                <w:sz w:val="18"/>
                <w:szCs w:val="18"/>
              </w:rPr>
            </w:pPr>
            <w:r w:rsidRPr="00907CAC">
              <w:rPr>
                <w:b/>
                <w:bCs/>
                <w:sz w:val="18"/>
                <w:szCs w:val="18"/>
              </w:rPr>
              <w:t>Subject</w:t>
            </w:r>
            <w:r w:rsidRPr="00907CAC">
              <w:rPr>
                <w:b/>
                <w:bCs/>
                <w:sz w:val="18"/>
                <w:szCs w:val="18"/>
              </w:rPr>
              <w:br/>
            </w:r>
          </w:p>
        </w:tc>
        <w:tc>
          <w:tcPr>
            <w:tcW w:w="283" w:type="dxa"/>
            <w:tcBorders>
              <w:bottom w:val="single" w:sz="4" w:space="0" w:color="auto"/>
            </w:tcBorders>
            <w:shd w:val="clear" w:color="auto" w:fill="auto"/>
          </w:tcPr>
          <w:p w:rsidR="00BD7DE7" w:rsidRPr="00907CAC" w:rsidRDefault="00BD7DE7" w:rsidP="00907CAC">
            <w:pPr>
              <w:pStyle w:val="Contactinfo"/>
              <w:spacing w:line="280" w:lineRule="exact"/>
              <w:ind w:left="0"/>
              <w:rPr>
                <w:sz w:val="18"/>
                <w:szCs w:val="18"/>
              </w:rPr>
            </w:pPr>
          </w:p>
        </w:tc>
        <w:tc>
          <w:tcPr>
            <w:tcW w:w="7655" w:type="dxa"/>
            <w:tcBorders>
              <w:bottom w:val="single" w:sz="4" w:space="0" w:color="auto"/>
            </w:tcBorders>
            <w:shd w:val="clear" w:color="auto" w:fill="auto"/>
          </w:tcPr>
          <w:p w:rsidR="00BD7DE7" w:rsidRPr="00907CAC" w:rsidRDefault="00EA28CC" w:rsidP="00EA28CC">
            <w:pPr>
              <w:pStyle w:val="Contactinfo"/>
              <w:spacing w:line="240" w:lineRule="auto"/>
              <w:ind w:left="0"/>
              <w:rPr>
                <w:sz w:val="18"/>
                <w:szCs w:val="18"/>
              </w:rPr>
            </w:pPr>
            <w:bookmarkStart w:id="3" w:name="bkmsubject"/>
            <w:r>
              <w:rPr>
                <w:sz w:val="18"/>
                <w:szCs w:val="18"/>
              </w:rPr>
              <w:t xml:space="preserve">Good practice when using the Price quality method of supplier selection </w:t>
            </w:r>
            <w:bookmarkEnd w:id="3"/>
          </w:p>
        </w:tc>
      </w:tr>
    </w:tbl>
    <w:p w:rsidR="00AE455C" w:rsidRDefault="00AE455C" w:rsidP="0098629C">
      <w:pPr>
        <w:pStyle w:val="Contactinfo"/>
        <w:ind w:left="0"/>
      </w:pPr>
    </w:p>
    <w:p w:rsidR="00EA28CC" w:rsidRPr="00D26144" w:rsidRDefault="00EA28CC" w:rsidP="00EA28CC">
      <w:pPr>
        <w:pStyle w:val="Heading2"/>
        <w:rPr>
          <w:sz w:val="21"/>
          <w:szCs w:val="21"/>
        </w:rPr>
      </w:pPr>
      <w:bookmarkStart w:id="4" w:name="bkmtest"/>
      <w:bookmarkEnd w:id="4"/>
      <w:r w:rsidRPr="00D26144">
        <w:rPr>
          <w:sz w:val="21"/>
          <w:szCs w:val="21"/>
        </w:rPr>
        <w:t>Introduction</w:t>
      </w:r>
    </w:p>
    <w:p w:rsidR="00EA28CC" w:rsidRDefault="00EA28CC" w:rsidP="00EA28CC">
      <w:r>
        <w:t xml:space="preserve">The price quality method of supplier select (PQM) is described in the NZ Transport Agency’s </w:t>
      </w:r>
      <w:hyperlink r:id="rId7" w:history="1">
        <w:r w:rsidRPr="00FF779A">
          <w:rPr>
            <w:rStyle w:val="Hyperlink"/>
          </w:rPr>
          <w:t>Procurement manual</w:t>
        </w:r>
      </w:hyperlink>
      <w:r>
        <w:t xml:space="preserve"> in Appendix C.</w:t>
      </w:r>
      <w:r w:rsidRPr="00B01B63">
        <w:t xml:space="preserve"> </w:t>
      </w:r>
      <w:r>
        <w:t>This note presents additional advice on the use of PQM, focussing on issues that commonly arise and need to be addressed by a tender evaluation team. This note does not repeat the advice that is already included in Appendix C.</w:t>
      </w:r>
    </w:p>
    <w:p w:rsidR="00EA28CC" w:rsidRDefault="00EA28CC" w:rsidP="00EA28CC"/>
    <w:p w:rsidR="00EA28CC" w:rsidRDefault="00EA28CC" w:rsidP="00EA28CC">
      <w:r>
        <w:t>Much of what is discussed in this practice note applies to other supplier selection methods – not just PQM.</w:t>
      </w:r>
      <w:r w:rsidRPr="00FD7AA1">
        <w:t xml:space="preserve"> </w:t>
      </w:r>
    </w:p>
    <w:p w:rsidR="00EA28CC" w:rsidRDefault="00EA28CC" w:rsidP="00EA28CC"/>
    <w:p w:rsidR="00EA28CC" w:rsidRPr="006C0E8E" w:rsidRDefault="00EA28CC" w:rsidP="00EA28CC">
      <w:pPr>
        <w:rPr>
          <w:rFonts w:cs="Lucida Sans"/>
          <w:szCs w:val="18"/>
        </w:rPr>
      </w:pPr>
      <w:r w:rsidRPr="006C0E8E">
        <w:rPr>
          <w:rFonts w:cs="Lucida Sans"/>
          <w:szCs w:val="18"/>
        </w:rPr>
        <w:t>This note:</w:t>
      </w:r>
    </w:p>
    <w:p w:rsidR="00EA28CC" w:rsidRPr="006C0E8E" w:rsidRDefault="00EA28CC" w:rsidP="00EA28CC">
      <w:pPr>
        <w:spacing w:line="276" w:lineRule="auto"/>
        <w:rPr>
          <w:rFonts w:cs="Lucida Sans"/>
          <w:szCs w:val="18"/>
        </w:rPr>
      </w:pPr>
    </w:p>
    <w:p w:rsidR="00EA28CC" w:rsidRPr="006C0E8E" w:rsidRDefault="00EA28CC" w:rsidP="00EA28CC">
      <w:pPr>
        <w:pStyle w:val="ListParagraph"/>
        <w:numPr>
          <w:ilvl w:val="0"/>
          <w:numId w:val="5"/>
        </w:numPr>
        <w:spacing w:after="120" w:line="276" w:lineRule="auto"/>
        <w:ind w:left="567" w:hanging="567"/>
        <w:rPr>
          <w:rFonts w:ascii="Lucida Sans" w:hAnsi="Lucida Sans" w:cs="Lucida Sans"/>
          <w:sz w:val="18"/>
          <w:szCs w:val="18"/>
          <w:lang w:val="en-GB"/>
        </w:rPr>
      </w:pPr>
      <w:r w:rsidRPr="006C0E8E">
        <w:rPr>
          <w:rFonts w:ascii="Lucida Sans" w:hAnsi="Lucida Sans" w:cs="Lucida Sans"/>
          <w:sz w:val="18"/>
          <w:szCs w:val="18"/>
          <w:lang w:val="en-GB"/>
        </w:rPr>
        <w:t>Offers advice to guide practice when replacing supplier quality premium (SQP) values – as permitted under PQM.</w:t>
      </w:r>
    </w:p>
    <w:p w:rsidR="00EA28CC" w:rsidRPr="006C0E8E" w:rsidRDefault="00EA28CC" w:rsidP="00EA28CC">
      <w:pPr>
        <w:pStyle w:val="ListParagraph"/>
        <w:numPr>
          <w:ilvl w:val="0"/>
          <w:numId w:val="5"/>
        </w:numPr>
        <w:spacing w:after="120" w:line="276" w:lineRule="auto"/>
        <w:ind w:left="567" w:hanging="567"/>
        <w:rPr>
          <w:rFonts w:ascii="Lucida Sans" w:hAnsi="Lucida Sans" w:cs="Lucida Sans"/>
          <w:sz w:val="18"/>
          <w:szCs w:val="18"/>
          <w:lang w:val="en-GB"/>
        </w:rPr>
      </w:pPr>
      <w:r w:rsidRPr="006C0E8E">
        <w:rPr>
          <w:rFonts w:ascii="Lucida Sans" w:hAnsi="Lucida Sans" w:cs="Lucida Sans"/>
          <w:sz w:val="18"/>
          <w:szCs w:val="18"/>
          <w:lang w:val="en-GB"/>
        </w:rPr>
        <w:t>Advises against one particularly undesirable practice that is occasionally adopted when r</w:t>
      </w:r>
      <w:bookmarkStart w:id="5" w:name="_GoBack"/>
      <w:bookmarkEnd w:id="5"/>
      <w:r w:rsidRPr="006C0E8E">
        <w:rPr>
          <w:rFonts w:ascii="Lucida Sans" w:hAnsi="Lucida Sans" w:cs="Lucida Sans"/>
          <w:sz w:val="18"/>
          <w:szCs w:val="18"/>
          <w:lang w:val="en-GB"/>
        </w:rPr>
        <w:t>eplacing SQP values – a practice that can produce a perverse result.</w:t>
      </w:r>
    </w:p>
    <w:p w:rsidR="00EA28CC" w:rsidRPr="006C0E8E" w:rsidRDefault="00EA28CC" w:rsidP="00EA28CC">
      <w:pPr>
        <w:pStyle w:val="ListParagraph"/>
        <w:numPr>
          <w:ilvl w:val="0"/>
          <w:numId w:val="5"/>
        </w:numPr>
        <w:spacing w:after="120" w:line="276" w:lineRule="auto"/>
        <w:ind w:left="567" w:hanging="567"/>
        <w:rPr>
          <w:rFonts w:ascii="Lucida Sans" w:hAnsi="Lucida Sans" w:cs="Lucida Sans"/>
          <w:sz w:val="18"/>
          <w:szCs w:val="18"/>
          <w:lang w:val="en-GB"/>
        </w:rPr>
      </w:pPr>
      <w:r w:rsidRPr="006C0E8E">
        <w:rPr>
          <w:rFonts w:ascii="Lucida Sans" w:hAnsi="Lucida Sans" w:cs="Lucida Sans"/>
          <w:sz w:val="18"/>
          <w:szCs w:val="18"/>
          <w:lang w:val="en-GB"/>
        </w:rPr>
        <w:t xml:space="preserve">Provides advice on a number of other tools that can be used with PQM. </w:t>
      </w:r>
    </w:p>
    <w:p w:rsidR="00EA28CC" w:rsidRPr="006C0E8E" w:rsidRDefault="00EA28CC" w:rsidP="00EA28CC">
      <w:pPr>
        <w:pStyle w:val="ListParagraph"/>
        <w:numPr>
          <w:ilvl w:val="0"/>
          <w:numId w:val="5"/>
        </w:numPr>
        <w:spacing w:after="120" w:line="276" w:lineRule="auto"/>
        <w:ind w:left="567" w:hanging="567"/>
        <w:rPr>
          <w:rFonts w:ascii="Lucida Sans" w:hAnsi="Lucida Sans" w:cs="Lucida Sans"/>
          <w:sz w:val="18"/>
          <w:szCs w:val="18"/>
        </w:rPr>
      </w:pPr>
      <w:r w:rsidRPr="006C0E8E">
        <w:rPr>
          <w:rFonts w:ascii="Lucida Sans" w:hAnsi="Lucida Sans" w:cs="Lucida Sans"/>
          <w:sz w:val="18"/>
          <w:szCs w:val="18"/>
        </w:rPr>
        <w:t>Reminds purchasers that the circumstances under which a tenderer’s proposal may be rejected / failed must be spelt out in the request for proposals (RFP)</w:t>
      </w:r>
      <w:r w:rsidR="00FF779A">
        <w:rPr>
          <w:rFonts w:ascii="Lucida Sans" w:hAnsi="Lucida Sans" w:cs="Lucida Sans"/>
          <w:sz w:val="18"/>
          <w:szCs w:val="18"/>
        </w:rPr>
        <w:t xml:space="preserve">, because the </w:t>
      </w:r>
      <w:r w:rsidRPr="006C0E8E">
        <w:rPr>
          <w:rFonts w:ascii="Lucida Sans" w:hAnsi="Lucida Sans" w:cs="Lucida Sans"/>
          <w:sz w:val="18"/>
          <w:szCs w:val="18"/>
        </w:rPr>
        <w:t xml:space="preserve">Procurement manual does not define the criteria for rejection. </w:t>
      </w:r>
    </w:p>
    <w:p w:rsidR="00EA28CC" w:rsidRDefault="00EA28CC" w:rsidP="00EA28CC">
      <w:pPr>
        <w:pStyle w:val="Heading2"/>
        <w:rPr>
          <w:sz w:val="21"/>
          <w:szCs w:val="21"/>
        </w:rPr>
      </w:pPr>
      <w:r w:rsidRPr="00092BFE">
        <w:rPr>
          <w:sz w:val="21"/>
          <w:szCs w:val="21"/>
        </w:rPr>
        <w:t xml:space="preserve">Summary </w:t>
      </w:r>
    </w:p>
    <w:p w:rsidR="00EA28CC" w:rsidRDefault="00EA28CC" w:rsidP="00EA28CC">
      <w:pPr>
        <w:rPr>
          <w:lang w:eastAsia="en-NZ"/>
        </w:rPr>
      </w:pPr>
      <w:r>
        <w:rPr>
          <w:lang w:eastAsia="en-NZ"/>
        </w:rPr>
        <w:t>The points made in this note include:</w:t>
      </w:r>
    </w:p>
    <w:p w:rsidR="00EA28CC" w:rsidRPr="00776809" w:rsidRDefault="00EA28CC" w:rsidP="00EA28CC">
      <w:pPr>
        <w:rPr>
          <w:lang w:eastAsia="en-NZ"/>
        </w:rPr>
      </w:pPr>
    </w:p>
    <w:p w:rsidR="00EA28CC" w:rsidRPr="006C0E8E" w:rsidRDefault="00EA28CC" w:rsidP="00EA28CC">
      <w:pPr>
        <w:pStyle w:val="ListParagraph"/>
        <w:numPr>
          <w:ilvl w:val="0"/>
          <w:numId w:val="6"/>
        </w:numPr>
        <w:spacing w:after="120" w:line="276" w:lineRule="auto"/>
        <w:ind w:left="567" w:hanging="567"/>
        <w:rPr>
          <w:rFonts w:ascii="Lucida Sans" w:hAnsi="Lucida Sans" w:cs="Lucida Sans"/>
          <w:sz w:val="18"/>
          <w:szCs w:val="18"/>
          <w:lang w:val="en-GB"/>
        </w:rPr>
      </w:pPr>
      <w:r w:rsidRPr="006C0E8E">
        <w:rPr>
          <w:rFonts w:ascii="Lucida Sans" w:hAnsi="Lucida Sans" w:cs="Lucida Sans"/>
          <w:sz w:val="18"/>
          <w:szCs w:val="18"/>
          <w:lang w:val="en-GB"/>
        </w:rPr>
        <w:t xml:space="preserve">The procurement manual offers a range of methods that allow selection on price alone (providing minimum criteria are met), selection on supplier quality alone (price to be negotiated) and </w:t>
      </w:r>
      <w:r>
        <w:rPr>
          <w:rFonts w:ascii="Lucida Sans" w:hAnsi="Lucida Sans" w:cs="Lucida Sans"/>
          <w:sz w:val="18"/>
          <w:szCs w:val="18"/>
          <w:lang w:val="en-GB"/>
        </w:rPr>
        <w:t xml:space="preserve">on both price </w:t>
      </w:r>
      <w:r w:rsidRPr="006C0E8E">
        <w:rPr>
          <w:rFonts w:ascii="Lucida Sans" w:hAnsi="Lucida Sans" w:cs="Lucida Sans"/>
          <w:sz w:val="18"/>
          <w:szCs w:val="18"/>
          <w:lang w:val="en-GB"/>
        </w:rPr>
        <w:t>quality - PQM trades price and quality – refer Procurement manual Appendix C and Chapter 5.</w:t>
      </w:r>
    </w:p>
    <w:p w:rsidR="00EA28CC" w:rsidRPr="006C0E8E" w:rsidRDefault="00EA28CC" w:rsidP="00EA28CC">
      <w:pPr>
        <w:pStyle w:val="ListParagraph"/>
        <w:numPr>
          <w:ilvl w:val="0"/>
          <w:numId w:val="6"/>
        </w:numPr>
        <w:spacing w:after="120" w:line="276" w:lineRule="auto"/>
        <w:ind w:left="567" w:hanging="567"/>
        <w:rPr>
          <w:rFonts w:ascii="Lucida Sans" w:hAnsi="Lucida Sans" w:cs="Lucida Sans"/>
          <w:sz w:val="18"/>
          <w:szCs w:val="18"/>
          <w:lang w:val="en-GB"/>
        </w:rPr>
      </w:pPr>
      <w:r w:rsidRPr="006C0E8E">
        <w:rPr>
          <w:rFonts w:ascii="Lucida Sans" w:hAnsi="Lucida Sans" w:cs="Lucida Sans"/>
          <w:sz w:val="18"/>
          <w:szCs w:val="18"/>
          <w:lang w:val="en-GB"/>
        </w:rPr>
        <w:t>Under PQM the amount more that the approved organisation is prepared to pay for a higher quality supplier (the SQP) is determined by a formula – refer Procurement manual Appendices C and H</w:t>
      </w:r>
    </w:p>
    <w:p w:rsidR="00EA28CC" w:rsidRPr="006C0E8E" w:rsidRDefault="00EA28CC" w:rsidP="00EA28CC">
      <w:pPr>
        <w:pStyle w:val="ListParagraph"/>
        <w:numPr>
          <w:ilvl w:val="0"/>
          <w:numId w:val="6"/>
        </w:numPr>
        <w:spacing w:after="120" w:line="276" w:lineRule="auto"/>
        <w:ind w:left="567" w:hanging="567"/>
        <w:rPr>
          <w:rFonts w:ascii="Lucida Sans" w:hAnsi="Lucida Sans" w:cs="Lucida Sans"/>
          <w:sz w:val="18"/>
          <w:szCs w:val="18"/>
          <w:lang w:val="en-GB"/>
        </w:rPr>
      </w:pPr>
      <w:r w:rsidRPr="006C0E8E">
        <w:rPr>
          <w:rFonts w:ascii="Lucida Sans" w:hAnsi="Lucida Sans" w:cs="Lucida Sans"/>
          <w:sz w:val="18"/>
          <w:szCs w:val="18"/>
          <w:lang w:val="en-GB"/>
        </w:rPr>
        <w:t xml:space="preserve">Sometimes the SQP values will be very large – this is seen as a problem by many but it is no more than </w:t>
      </w:r>
      <w:proofErr w:type="gramStart"/>
      <w:r w:rsidRPr="006C0E8E">
        <w:rPr>
          <w:rFonts w:ascii="Lucida Sans" w:hAnsi="Lucida Sans" w:cs="Lucida Sans"/>
          <w:sz w:val="18"/>
          <w:szCs w:val="18"/>
          <w:lang w:val="en-GB"/>
        </w:rPr>
        <w:t>a</w:t>
      </w:r>
      <w:proofErr w:type="gramEnd"/>
      <w:r w:rsidRPr="006C0E8E">
        <w:rPr>
          <w:rFonts w:ascii="Lucida Sans" w:hAnsi="Lucida Sans" w:cs="Lucida Sans"/>
          <w:sz w:val="18"/>
          <w:szCs w:val="18"/>
          <w:lang w:val="en-GB"/>
        </w:rPr>
        <w:t xml:space="preserve"> consequence of the method (including its detailed design by the purchaser) and the range in ‘quality’ of the proposals received.</w:t>
      </w:r>
    </w:p>
    <w:p w:rsidR="00EA28CC" w:rsidRPr="006C0E8E" w:rsidRDefault="00EA28CC" w:rsidP="00EA28CC">
      <w:pPr>
        <w:pStyle w:val="ListParagraph"/>
        <w:numPr>
          <w:ilvl w:val="0"/>
          <w:numId w:val="6"/>
        </w:numPr>
        <w:spacing w:after="120" w:line="276" w:lineRule="auto"/>
        <w:ind w:left="567" w:hanging="567"/>
        <w:rPr>
          <w:rFonts w:ascii="Lucida Sans" w:hAnsi="Lucida Sans" w:cs="Lucida Sans"/>
          <w:sz w:val="18"/>
          <w:szCs w:val="18"/>
          <w:lang w:val="en-GB"/>
        </w:rPr>
      </w:pPr>
      <w:r w:rsidRPr="006C0E8E">
        <w:rPr>
          <w:rFonts w:ascii="Lucida Sans" w:hAnsi="Lucida Sans" w:cs="Lucida Sans"/>
          <w:sz w:val="18"/>
          <w:szCs w:val="18"/>
          <w:lang w:val="en-GB"/>
        </w:rPr>
        <w:t>SQP values must be reviewed and can be replaced – refer Procurement manual Appendix C – Step 4 in the process.</w:t>
      </w:r>
    </w:p>
    <w:p w:rsidR="00EA28CC" w:rsidRPr="006C0E8E" w:rsidRDefault="00EA28CC" w:rsidP="00EA28CC">
      <w:pPr>
        <w:pStyle w:val="ListParagraph"/>
        <w:numPr>
          <w:ilvl w:val="0"/>
          <w:numId w:val="6"/>
        </w:numPr>
        <w:spacing w:after="120" w:line="276" w:lineRule="auto"/>
        <w:ind w:left="567" w:hanging="567"/>
        <w:rPr>
          <w:rFonts w:ascii="Lucida Sans" w:hAnsi="Lucida Sans" w:cs="Lucida Sans"/>
          <w:sz w:val="18"/>
          <w:szCs w:val="18"/>
          <w:lang w:val="en-GB"/>
        </w:rPr>
      </w:pPr>
      <w:r w:rsidRPr="006C0E8E">
        <w:rPr>
          <w:rFonts w:ascii="Lucida Sans" w:hAnsi="Lucida Sans" w:cs="Lucida Sans"/>
          <w:sz w:val="18"/>
          <w:szCs w:val="18"/>
          <w:lang w:val="en-GB"/>
        </w:rPr>
        <w:t>Replacement will likely cause tenderers to doubt the integrity of the supplier selection process and will increase the probability that it will be questioned.</w:t>
      </w:r>
    </w:p>
    <w:p w:rsidR="00EA28CC" w:rsidRPr="006C0E8E" w:rsidRDefault="00EA28CC" w:rsidP="00EA28CC">
      <w:pPr>
        <w:pStyle w:val="ListParagraph"/>
        <w:numPr>
          <w:ilvl w:val="0"/>
          <w:numId w:val="6"/>
        </w:numPr>
        <w:spacing w:after="120" w:line="276" w:lineRule="auto"/>
        <w:ind w:left="567" w:hanging="567"/>
        <w:rPr>
          <w:rFonts w:ascii="Lucida Sans" w:hAnsi="Lucida Sans" w:cs="Lucida Sans"/>
          <w:sz w:val="18"/>
          <w:szCs w:val="18"/>
          <w:lang w:val="en-GB"/>
        </w:rPr>
      </w:pPr>
      <w:r w:rsidRPr="006C0E8E">
        <w:rPr>
          <w:rFonts w:ascii="Lucida Sans" w:hAnsi="Lucida Sans" w:cs="Lucida Sans"/>
          <w:sz w:val="18"/>
          <w:szCs w:val="18"/>
          <w:lang w:val="en-GB"/>
        </w:rPr>
        <w:t xml:space="preserve">Replacement needs to be done with care to ensure that it is legally acceptable. </w:t>
      </w:r>
    </w:p>
    <w:p w:rsidR="00EA28CC" w:rsidRPr="006C0E8E" w:rsidRDefault="00EA28CC" w:rsidP="00EA28CC">
      <w:pPr>
        <w:pStyle w:val="ListParagraph"/>
        <w:numPr>
          <w:ilvl w:val="0"/>
          <w:numId w:val="6"/>
        </w:numPr>
        <w:spacing w:after="120" w:line="276" w:lineRule="auto"/>
        <w:ind w:left="567" w:hanging="567"/>
        <w:rPr>
          <w:rFonts w:ascii="Lucida Sans" w:hAnsi="Lucida Sans" w:cs="Lucida Sans"/>
          <w:sz w:val="18"/>
          <w:szCs w:val="18"/>
          <w:lang w:val="en-GB"/>
        </w:rPr>
      </w:pPr>
      <w:r w:rsidRPr="006C0E8E">
        <w:rPr>
          <w:rFonts w:ascii="Lucida Sans" w:hAnsi="Lucida Sans" w:cs="Lucida Sans"/>
          <w:sz w:val="18"/>
          <w:szCs w:val="18"/>
          <w:lang w:val="en-GB"/>
        </w:rPr>
        <w:t>Careful design of the supplier selection process, using the tools discussed below, will help to avoid any need to replace SQP values.</w:t>
      </w:r>
    </w:p>
    <w:p w:rsidR="00EA28CC" w:rsidRPr="006C0E8E" w:rsidRDefault="00EA28CC" w:rsidP="00EA28CC">
      <w:pPr>
        <w:pStyle w:val="ListParagraph"/>
        <w:numPr>
          <w:ilvl w:val="0"/>
          <w:numId w:val="6"/>
        </w:numPr>
        <w:spacing w:after="120" w:line="276" w:lineRule="auto"/>
        <w:ind w:left="567" w:hanging="567"/>
        <w:rPr>
          <w:rFonts w:ascii="Lucida Sans" w:hAnsi="Lucida Sans" w:cs="Lucida Sans"/>
          <w:sz w:val="18"/>
          <w:szCs w:val="18"/>
          <w:lang w:val="en-GB"/>
        </w:rPr>
      </w:pPr>
      <w:r w:rsidRPr="006C0E8E">
        <w:rPr>
          <w:rFonts w:ascii="Lucida Sans" w:hAnsi="Lucida Sans" w:cs="Lucida Sans"/>
          <w:sz w:val="18"/>
          <w:szCs w:val="18"/>
          <w:lang w:val="en-GB"/>
        </w:rPr>
        <w:t>Replacing by scaling SQP values has been used and may be acceptable in exceptional circumstances.</w:t>
      </w:r>
    </w:p>
    <w:p w:rsidR="00EA28CC" w:rsidRPr="006C0E8E" w:rsidRDefault="00EA28CC" w:rsidP="00EA28CC">
      <w:pPr>
        <w:pStyle w:val="ListParagraph"/>
        <w:numPr>
          <w:ilvl w:val="0"/>
          <w:numId w:val="6"/>
        </w:numPr>
        <w:spacing w:after="120" w:line="276" w:lineRule="auto"/>
        <w:ind w:left="567" w:hanging="567"/>
        <w:rPr>
          <w:rFonts w:ascii="Lucida Sans" w:hAnsi="Lucida Sans" w:cs="Lucida Sans"/>
          <w:sz w:val="18"/>
          <w:szCs w:val="18"/>
          <w:lang w:val="en-GB"/>
        </w:rPr>
      </w:pPr>
      <w:r w:rsidRPr="006C0E8E">
        <w:rPr>
          <w:rFonts w:ascii="Lucida Sans" w:hAnsi="Lucida Sans" w:cs="Lucida Sans"/>
          <w:sz w:val="18"/>
          <w:szCs w:val="18"/>
          <w:lang w:val="en-GB"/>
        </w:rPr>
        <w:t xml:space="preserve">Fail criteria must be set out in the RFP </w:t>
      </w:r>
    </w:p>
    <w:p w:rsidR="00EA28CC" w:rsidRPr="006C0E8E" w:rsidRDefault="00EA28CC" w:rsidP="00EA28CC">
      <w:pPr>
        <w:pStyle w:val="ListParagraph"/>
        <w:numPr>
          <w:ilvl w:val="0"/>
          <w:numId w:val="6"/>
        </w:numPr>
        <w:spacing w:after="120" w:line="276" w:lineRule="auto"/>
        <w:ind w:left="567" w:hanging="567"/>
        <w:rPr>
          <w:rFonts w:ascii="Lucida Sans" w:hAnsi="Lucida Sans" w:cs="Lucida Sans"/>
          <w:sz w:val="18"/>
          <w:szCs w:val="18"/>
          <w:lang w:val="en-GB"/>
        </w:rPr>
      </w:pPr>
      <w:r w:rsidRPr="006C0E8E">
        <w:rPr>
          <w:rFonts w:ascii="Lucida Sans" w:hAnsi="Lucida Sans" w:cs="Lucida Sans"/>
          <w:sz w:val="18"/>
          <w:szCs w:val="18"/>
          <w:lang w:val="en-GB"/>
        </w:rPr>
        <w:lastRenderedPageBreak/>
        <w:t>The estimate must be included in the RFP when using PQM – refer Procurement manual page C-7.</w:t>
      </w:r>
    </w:p>
    <w:p w:rsidR="00EA28CC" w:rsidRPr="006C0E8E" w:rsidRDefault="00EA28CC" w:rsidP="00EA28CC">
      <w:pPr>
        <w:pStyle w:val="ListParagraph"/>
        <w:numPr>
          <w:ilvl w:val="0"/>
          <w:numId w:val="6"/>
        </w:numPr>
        <w:spacing w:after="120" w:line="276" w:lineRule="auto"/>
        <w:ind w:left="567" w:hanging="567"/>
        <w:rPr>
          <w:rFonts w:ascii="Lucida Sans" w:hAnsi="Lucida Sans" w:cs="Lucida Sans"/>
          <w:sz w:val="18"/>
          <w:szCs w:val="18"/>
          <w:lang w:val="en-GB"/>
        </w:rPr>
      </w:pPr>
      <w:r w:rsidRPr="006C0E8E">
        <w:rPr>
          <w:rFonts w:ascii="Lucida Sans" w:hAnsi="Lucida Sans" w:cs="Lucida Sans"/>
          <w:sz w:val="18"/>
          <w:szCs w:val="18"/>
          <w:lang w:val="en-GB"/>
        </w:rPr>
        <w:t>As is the case with all procurement practice, approved organisations must comply with their administrative law obligations including the obligation to be fair and reasonable in their dealings with all tenderers</w:t>
      </w:r>
      <w:r>
        <w:rPr>
          <w:rFonts w:ascii="Lucida Sans" w:hAnsi="Lucida Sans" w:cs="Lucida Sans"/>
          <w:sz w:val="18"/>
          <w:szCs w:val="18"/>
          <w:lang w:val="en-GB"/>
        </w:rPr>
        <w:t xml:space="preserve">. </w:t>
      </w:r>
      <w:r w:rsidRPr="006C0E8E">
        <w:rPr>
          <w:rFonts w:ascii="Lucida Sans" w:hAnsi="Lucida Sans" w:cs="Lucida Sans"/>
          <w:sz w:val="18"/>
          <w:szCs w:val="18"/>
          <w:lang w:val="en-GB"/>
        </w:rPr>
        <w:t xml:space="preserve">They must also be prepared to give reasons for decisions made. The Transport Agency considers that it is good practice to offer, through the RFP, to give feedback to unsuccessful tenderers and to do so promptly when asked.  </w:t>
      </w:r>
    </w:p>
    <w:p w:rsidR="00EA28CC" w:rsidRDefault="00EA28CC" w:rsidP="00EA28CC">
      <w:pPr>
        <w:pStyle w:val="Heading2"/>
        <w:rPr>
          <w:sz w:val="21"/>
          <w:szCs w:val="21"/>
        </w:rPr>
      </w:pPr>
      <w:r>
        <w:rPr>
          <w:sz w:val="21"/>
          <w:szCs w:val="21"/>
        </w:rPr>
        <w:t>SQP values may be replaced under exceptional circumstances</w:t>
      </w:r>
    </w:p>
    <w:p w:rsidR="00EA28CC" w:rsidRDefault="00EA28CC" w:rsidP="00EA28CC">
      <w:r w:rsidRPr="00B01B63">
        <w:t>SQP values</w:t>
      </w:r>
      <w:r>
        <w:t>, as calculated at Step 3 in the PQM process, may be ‘replaced’ following ‘review’. This is permitted at Step 4. However, replacement should only be resorted to under exceptional circumstances. Legal advice would normally be sought because replacement presents a high risk of legal challenge. The purchaser must be able to give good reasons for replacement and good reasons to support the new values.</w:t>
      </w:r>
      <w:r w:rsidRPr="002E69F7">
        <w:t xml:space="preserve"> </w:t>
      </w:r>
      <w:r>
        <w:t xml:space="preserve">Refer </w:t>
      </w:r>
      <w:r w:rsidR="00FF779A">
        <w:t xml:space="preserve">Procurement Manual Appendix C part C.5 </w:t>
      </w:r>
      <w:r w:rsidR="00FF779A" w:rsidRPr="00FF779A">
        <w:rPr>
          <w:i/>
        </w:rPr>
        <w:t>Price quality</w:t>
      </w:r>
      <w:r w:rsidR="00FF779A">
        <w:t xml:space="preserve"> under the heading </w:t>
      </w:r>
      <w:proofErr w:type="gramStart"/>
      <w:r w:rsidR="00745C8C" w:rsidRPr="00745C8C">
        <w:rPr>
          <w:i/>
        </w:rPr>
        <w:t>Confirming</w:t>
      </w:r>
      <w:proofErr w:type="gramEnd"/>
      <w:r w:rsidR="00745C8C" w:rsidRPr="00745C8C">
        <w:rPr>
          <w:i/>
        </w:rPr>
        <w:t xml:space="preserve"> the supplier quality premium</w:t>
      </w:r>
      <w:r w:rsidR="00745C8C">
        <w:t xml:space="preserve">. </w:t>
      </w:r>
    </w:p>
    <w:p w:rsidR="00EA28CC" w:rsidRPr="006135FB" w:rsidRDefault="00EA28CC" w:rsidP="00EA28CC">
      <w:pPr>
        <w:pStyle w:val="Heading2"/>
        <w:rPr>
          <w:sz w:val="21"/>
          <w:szCs w:val="21"/>
        </w:rPr>
      </w:pPr>
      <w:r w:rsidRPr="006135FB">
        <w:rPr>
          <w:sz w:val="21"/>
          <w:szCs w:val="21"/>
        </w:rPr>
        <w:t xml:space="preserve">Do not arbitrarily </w:t>
      </w:r>
      <w:r>
        <w:rPr>
          <w:sz w:val="21"/>
          <w:szCs w:val="21"/>
        </w:rPr>
        <w:t>cap</w:t>
      </w:r>
      <w:r w:rsidRPr="006135FB">
        <w:rPr>
          <w:sz w:val="21"/>
          <w:szCs w:val="21"/>
        </w:rPr>
        <w:t xml:space="preserve"> the maximum SQP value</w:t>
      </w:r>
    </w:p>
    <w:p w:rsidR="00EA28CC" w:rsidRDefault="00EA28CC" w:rsidP="00EA28CC">
      <w:r>
        <w:t xml:space="preserve">Large SQP values are sometimes replaced by a cap – a maximum value. Such an approach is irrational because the size of the largest SQP value calculated in a PQM evaluation is a function of the relative quality of the suppliers that submit proposals. </w:t>
      </w:r>
    </w:p>
    <w:p w:rsidR="00EA28CC" w:rsidRDefault="00EA28CC" w:rsidP="00EA28CC"/>
    <w:p w:rsidR="00EA28CC" w:rsidRDefault="00EA28CC" w:rsidP="00EA28CC">
      <w:r>
        <w:t xml:space="preserve">The following example demonstrates the type of problem that can arise when a cap is applied. If all proposals received are of a similarly exceptional quality and consequently are all given scores in the range 80 to 90 on all non-price attributes the SQP values will be small. If on the other hand one of the tenders is of low quality and has a very high tender price - receiving scores around 40 for all non-price attributes - the SQP values for all the exceptional quality tenders will become relatively large numbers.  </w:t>
      </w:r>
    </w:p>
    <w:p w:rsidR="00EA28CC" w:rsidRDefault="00EA28CC" w:rsidP="00EA28CC"/>
    <w:p w:rsidR="00EA28CC" w:rsidRDefault="00EA28CC" w:rsidP="00EA28CC">
      <w:r>
        <w:t xml:space="preserve">Replacement of the calculated SQP values for the high quality suppliers with a lower ‘cap’ will simply ensure that the lowest priced tender becomes the preferred tender. The introduction of an irrelevant factor – a low quality high priced tender – has eliminated the purchaser’s original intent to trade price and quality. </w:t>
      </w:r>
    </w:p>
    <w:p w:rsidR="00EA28CC" w:rsidRDefault="00EA28CC" w:rsidP="00EA28CC"/>
    <w:p w:rsidR="00EA28CC" w:rsidRDefault="00EA28CC" w:rsidP="00EA28CC">
      <w:r>
        <w:t xml:space="preserve">Replacing high SQP values with a maximum or ‘cap’ value is probably illegal given its arbitrary nature and its ability to produce a perverse result. </w:t>
      </w:r>
    </w:p>
    <w:p w:rsidR="00EA28CC" w:rsidRDefault="00EA28CC" w:rsidP="00EA28CC">
      <w:pPr>
        <w:pStyle w:val="Heading2"/>
        <w:rPr>
          <w:sz w:val="21"/>
          <w:szCs w:val="21"/>
        </w:rPr>
      </w:pPr>
      <w:r>
        <w:rPr>
          <w:sz w:val="21"/>
          <w:szCs w:val="21"/>
        </w:rPr>
        <w:t>Scaling SQP values</w:t>
      </w:r>
    </w:p>
    <w:p w:rsidR="00EA28CC" w:rsidRDefault="00EA28CC" w:rsidP="00EA28CC">
      <w:r>
        <w:t>Purchasers have been known to address a perceived problem of large SQP value(s) by scaling down the calculated SQP values by multiplying all by a constant less than 1.0. Providing the purchaser has a rational explanation for why the scaled SQP value for the higher quality proposals represent more than they are willing to pay for the additional quality offered by the higher scoring suppliers, compared to the lowest scoring supplier, scaling may be able to be legally defended. However, replacement by scaling will likely cause tenderers to doubt the integrity of the supplier selection process and will increase the probability that it will be questioned.</w:t>
      </w:r>
    </w:p>
    <w:p w:rsidR="00EA28CC" w:rsidRDefault="00EA28CC" w:rsidP="00EA28CC"/>
    <w:p w:rsidR="00EA28CC" w:rsidRDefault="00EA28CC" w:rsidP="00EA28CC">
      <w:r>
        <w:t>Scaling has a very similar effect to changing the price weight. Every effort must be made to get the price weight, and the non-price weights, right before publishing the RFP. The Procurement manual provides advice to help set an appropriate price weight before going to the market</w:t>
      </w:r>
      <w:r w:rsidR="00745C8C">
        <w:t xml:space="preserve">, refer Procurement Manual section 5.4 </w:t>
      </w:r>
      <w:r w:rsidR="00745C8C" w:rsidRPr="00745C8C">
        <w:rPr>
          <w:i/>
        </w:rPr>
        <w:t>Supplier selection processes</w:t>
      </w:r>
      <w:r w:rsidR="00745C8C" w:rsidRPr="00235A9E">
        <w:t xml:space="preserve">. </w:t>
      </w:r>
      <w:r w:rsidR="00235A9E" w:rsidRPr="00235A9E">
        <w:t>An</w:t>
      </w:r>
      <w:r w:rsidR="00235A9E">
        <w:rPr>
          <w:i/>
        </w:rPr>
        <w:t xml:space="preserve"> </w:t>
      </w:r>
      <w:hyperlink r:id="rId8" w:history="1">
        <w:r w:rsidRPr="00235A9E">
          <w:rPr>
            <w:rStyle w:val="Hyperlink"/>
            <w:i/>
          </w:rPr>
          <w:t>Attribute weight setting tool</w:t>
        </w:r>
      </w:hyperlink>
      <w:r>
        <w:t xml:space="preserve"> is </w:t>
      </w:r>
      <w:r w:rsidR="00235A9E">
        <w:t xml:space="preserve">available through the </w:t>
      </w:r>
      <w:r>
        <w:t>Transport Agency’s website</w:t>
      </w:r>
      <w:r w:rsidR="00235A9E">
        <w:t xml:space="preserve"> along with other tools and advice around </w:t>
      </w:r>
      <w:hyperlink r:id="rId9" w:anchor="supplier" w:history="1">
        <w:r w:rsidR="00235A9E" w:rsidRPr="00235A9E">
          <w:rPr>
            <w:rStyle w:val="Hyperlink"/>
          </w:rPr>
          <w:t>supplier selection</w:t>
        </w:r>
      </w:hyperlink>
      <w:r w:rsidR="00235A9E">
        <w:t>.</w:t>
      </w:r>
    </w:p>
    <w:p w:rsidR="00EA28CC" w:rsidRDefault="00EA28CC" w:rsidP="00EA28CC"/>
    <w:p w:rsidR="00EA28CC" w:rsidRPr="006135FB" w:rsidRDefault="00EA28CC" w:rsidP="00EA28CC">
      <w:pPr>
        <w:pStyle w:val="Heading2"/>
        <w:rPr>
          <w:sz w:val="21"/>
          <w:szCs w:val="21"/>
        </w:rPr>
      </w:pPr>
      <w:r w:rsidRPr="006135FB">
        <w:rPr>
          <w:sz w:val="21"/>
          <w:szCs w:val="21"/>
        </w:rPr>
        <w:lastRenderedPageBreak/>
        <w:t>Using a higher ‘fail’ grade</w:t>
      </w:r>
    </w:p>
    <w:p w:rsidR="00EA28CC" w:rsidRDefault="00EA28CC" w:rsidP="00EA28CC">
      <w:r>
        <w:t xml:space="preserve">Using a ‘fail’ grade higher than the traditional 35 may reduce the range of SQP values because lower quality suppliers are either discouraged from entering the competition or are ‘failed’. </w:t>
      </w:r>
    </w:p>
    <w:p w:rsidR="00EA28CC" w:rsidRDefault="00EA28CC" w:rsidP="00EA28CC"/>
    <w:p w:rsidR="00EA28CC" w:rsidRDefault="00EA28CC" w:rsidP="00EA28CC">
      <w:r>
        <w:t>If a purchaser uses a higher fail grade they need to be sure that they can categorically say “we will not do business with someone who scores under XX on any attribute regardless of the price they tender“. A tenderer who offered a price less than the winning price but was failed on a no</w:t>
      </w:r>
      <w:r w:rsidR="00235A9E">
        <w:t>n</w:t>
      </w:r>
      <w:r>
        <w:t xml:space="preserve">-price attribute and consequently rejected, could go public on their price – so the purchaser needs to be confident that you can say that “we will not do business … </w:t>
      </w:r>
      <w:proofErr w:type="spellStart"/>
      <w:r>
        <w:t>etc</w:t>
      </w:r>
      <w:proofErr w:type="spellEnd"/>
      <w:r>
        <w:t>”. ‘Raising the bar’ in this way is nevertheless</w:t>
      </w:r>
      <w:r w:rsidR="00235A9E">
        <w:t xml:space="preserve"> rational in certain circumstances</w:t>
      </w:r>
      <w:r>
        <w:t xml:space="preserve">. </w:t>
      </w:r>
    </w:p>
    <w:p w:rsidR="00EA28CC" w:rsidRPr="006135FB" w:rsidRDefault="00EA28CC" w:rsidP="00EA28CC">
      <w:pPr>
        <w:pStyle w:val="Heading2"/>
        <w:rPr>
          <w:sz w:val="21"/>
          <w:szCs w:val="21"/>
        </w:rPr>
      </w:pPr>
      <w:r w:rsidRPr="006135FB">
        <w:rPr>
          <w:sz w:val="21"/>
          <w:szCs w:val="21"/>
        </w:rPr>
        <w:t>Note that fail criteria must be advised through the RFP</w:t>
      </w:r>
    </w:p>
    <w:p w:rsidR="00EA28CC" w:rsidRDefault="00EA28CC" w:rsidP="00EA28CC">
      <w:r>
        <w:t>The fail grade to be used in a proposal evaluation, and more generally the criteria that will be used to establish a fail threshold, must be advised through the RFP. The Procurement manual does not specify a fail grade - it is up to the approved organisation to do that. Refer Procurement manual section 10.14 – in particular part 3 of the rule and the guidelines.</w:t>
      </w:r>
    </w:p>
    <w:p w:rsidR="00EA28CC" w:rsidRDefault="00EA28CC" w:rsidP="00EA28CC"/>
    <w:p w:rsidR="00EA28CC" w:rsidDel="00DF4129" w:rsidRDefault="00EA28CC" w:rsidP="00EA28CC">
      <w:r>
        <w:t>Establishing sound fail criteria is one of the means by which</w:t>
      </w:r>
      <w:r w:rsidRPr="002B5F6A" w:rsidDel="00DF4129">
        <w:t xml:space="preserve"> an approved organisation </w:t>
      </w:r>
      <w:r>
        <w:t xml:space="preserve">will </w:t>
      </w:r>
      <w:r w:rsidRPr="002B5F6A" w:rsidDel="00DF4129">
        <w:t>reserv</w:t>
      </w:r>
      <w:r>
        <w:t>e</w:t>
      </w:r>
      <w:r w:rsidRPr="002B5F6A" w:rsidDel="00DF4129">
        <w:t xml:space="preserve"> the right to reject a proposal on the basis that it is low in quality, based on non-price attribute scores</w:t>
      </w:r>
      <w:r>
        <w:t>. Short listing, discussed below, is another way to help ensure that a low quality tender is not accepted.</w:t>
      </w:r>
      <w:r w:rsidDel="00DF4129">
        <w:t xml:space="preserve"> </w:t>
      </w:r>
    </w:p>
    <w:p w:rsidR="00EA28CC" w:rsidRPr="006135FB" w:rsidRDefault="00EA28CC" w:rsidP="00EA28CC">
      <w:pPr>
        <w:pStyle w:val="Heading2"/>
        <w:rPr>
          <w:sz w:val="21"/>
          <w:szCs w:val="21"/>
        </w:rPr>
      </w:pPr>
      <w:r w:rsidRPr="006135FB">
        <w:rPr>
          <w:sz w:val="21"/>
          <w:szCs w:val="21"/>
        </w:rPr>
        <w:t>Attributes can be judged on a pass / fail basis only</w:t>
      </w:r>
    </w:p>
    <w:p w:rsidR="00EA28CC" w:rsidRDefault="00EA28CC" w:rsidP="00EA28CC">
      <w:r>
        <w:t xml:space="preserve">Purchasers can choose to weight (and grade) some attributes and use a pass / fail test only on others. This will allow greater weight to be given to those attributes that the purchaser wishes to use to differentiate proposals. When designing a PQM evaluation process the option of not weighting some attributes needs to be considered. Refer the </w:t>
      </w:r>
      <w:hyperlink r:id="rId10" w:history="1">
        <w:r w:rsidR="00235A9E" w:rsidRPr="00235A9E">
          <w:rPr>
            <w:rStyle w:val="Hyperlink"/>
            <w:i/>
          </w:rPr>
          <w:t>Attribute weight setting tool</w:t>
        </w:r>
      </w:hyperlink>
      <w:r w:rsidR="00235A9E">
        <w:t xml:space="preserve"> </w:t>
      </w:r>
      <w:r>
        <w:t>on the Transport Agency’s website:</w:t>
      </w:r>
    </w:p>
    <w:p w:rsidR="00EA28CC" w:rsidRPr="00543B4C" w:rsidRDefault="00EA28CC" w:rsidP="00EA28CC">
      <w:pPr>
        <w:pStyle w:val="Heading2"/>
        <w:rPr>
          <w:sz w:val="21"/>
          <w:szCs w:val="21"/>
        </w:rPr>
      </w:pPr>
      <w:r w:rsidRPr="00543B4C">
        <w:rPr>
          <w:sz w:val="21"/>
          <w:szCs w:val="21"/>
        </w:rPr>
        <w:t>Price weight is limited to a maximum of 70</w:t>
      </w:r>
    </w:p>
    <w:p w:rsidR="00EA28CC" w:rsidRDefault="00EA28CC" w:rsidP="00EA28CC">
      <w:r>
        <w:t>Increasing the price weight will reduce the range of SQP values and limit the amount more that could be paid for a higher quality supplier. However, the Procurement manual limits the maximum price weight to 70. An approved organisation that wishes to use a higher price weight, and has a best value for money reason for doing so, can request procurement procedure approval from the Transport Agency. Using a higher price weight may be wise in some circumstances – for example if a pass / fail only test is to be applied to some attributes a total weight of 30 on the remaining attributes may be too large.</w:t>
      </w:r>
    </w:p>
    <w:p w:rsidR="00EA28CC" w:rsidRDefault="00EA28CC" w:rsidP="00EA28CC"/>
    <w:p w:rsidR="00EA28CC" w:rsidRDefault="00EA28CC" w:rsidP="00EA28CC">
      <w:r>
        <w:t xml:space="preserve">Raising the price weight brings PQM closer to the lowest price conforming (LPC) method. </w:t>
      </w:r>
    </w:p>
    <w:p w:rsidR="00EA28CC" w:rsidRPr="00543B4C" w:rsidRDefault="00EA28CC" w:rsidP="00EA28CC">
      <w:pPr>
        <w:pStyle w:val="Heading2"/>
        <w:rPr>
          <w:sz w:val="21"/>
          <w:szCs w:val="21"/>
        </w:rPr>
      </w:pPr>
      <w:r w:rsidRPr="00543B4C">
        <w:rPr>
          <w:sz w:val="21"/>
          <w:szCs w:val="21"/>
        </w:rPr>
        <w:t>Short listing</w:t>
      </w:r>
    </w:p>
    <w:p w:rsidR="00EA28CC" w:rsidRDefault="00EA28CC" w:rsidP="00EA28CC">
      <w:r>
        <w:t xml:space="preserve">Short listing has a similar effect to raising the fail grade or any other fail threshold. </w:t>
      </w:r>
    </w:p>
    <w:p w:rsidR="00EA28CC" w:rsidRDefault="00EA28CC" w:rsidP="00EA28CC"/>
    <w:p w:rsidR="00EA28CC" w:rsidRDefault="00EA28CC" w:rsidP="00EA28CC">
      <w:r>
        <w:t>Procurement manual chapter 5 offers guidance on short listing. Better quality proposals can be encouraged by short listing and the supplier selection process made more efficient. If a limited number of quality suppliers know they are the only ones competing they may make a greater effort when preparing their proposals - leading to better quality proposals and better value for money.</w:t>
      </w:r>
    </w:p>
    <w:p w:rsidR="00EA28CC" w:rsidRPr="00543B4C" w:rsidRDefault="00EA28CC" w:rsidP="00EA28CC">
      <w:pPr>
        <w:pStyle w:val="Heading2"/>
        <w:rPr>
          <w:sz w:val="21"/>
          <w:szCs w:val="21"/>
        </w:rPr>
      </w:pPr>
      <w:r w:rsidRPr="00543B4C">
        <w:rPr>
          <w:sz w:val="21"/>
          <w:szCs w:val="21"/>
        </w:rPr>
        <w:t>Testing supplier select process design ideas</w:t>
      </w:r>
    </w:p>
    <w:p w:rsidR="00A047BF" w:rsidRDefault="00EA28CC" w:rsidP="00EA28CC">
      <w:r>
        <w:t>As discussed above t</w:t>
      </w:r>
      <w:r w:rsidRPr="002B5F6A">
        <w:t xml:space="preserve">he </w:t>
      </w:r>
      <w:r>
        <w:t>Transport Agency</w:t>
      </w:r>
      <w:r w:rsidRPr="002B5F6A">
        <w:t xml:space="preserve">’s website offers </w:t>
      </w:r>
      <w:hyperlink r:id="rId11" w:history="1">
        <w:r w:rsidRPr="001F34B4">
          <w:rPr>
            <w:rStyle w:val="Hyperlink"/>
          </w:rPr>
          <w:t>tools</w:t>
        </w:r>
      </w:hyperlink>
      <w:r w:rsidRPr="002B5F6A">
        <w:t xml:space="preserve"> for testing </w:t>
      </w:r>
      <w:r>
        <w:t>supplier selection process design ideas</w:t>
      </w:r>
      <w:r w:rsidR="001F34B4">
        <w:t xml:space="preserve">. </w:t>
      </w:r>
      <w:r>
        <w:t xml:space="preserve">One very informative way to test </w:t>
      </w:r>
      <w:r w:rsidR="002F0A7A">
        <w:t xml:space="preserve">such </w:t>
      </w:r>
      <w:r>
        <w:t>ideas</w:t>
      </w:r>
      <w:r w:rsidR="00A047BF">
        <w:t>, using the p</w:t>
      </w:r>
      <w:r w:rsidR="00A047BF" w:rsidRPr="002B5F6A">
        <w:t>rice quality evaluation tool</w:t>
      </w:r>
      <w:r w:rsidR="00A047BF">
        <w:t xml:space="preserve">, </w:t>
      </w:r>
      <w:r>
        <w:t xml:space="preserve">is to take the </w:t>
      </w:r>
      <w:r>
        <w:lastRenderedPageBreak/>
        <w:t xml:space="preserve">tenders previously received for a similar contract and use the prices tendered and scores given for non-price attributes </w:t>
      </w:r>
      <w:r w:rsidR="00A047BF">
        <w:t xml:space="preserve">to perform </w:t>
      </w:r>
      <w:r>
        <w:t xml:space="preserve">‘what if’ analyses. </w:t>
      </w:r>
      <w:r w:rsidR="00A047BF">
        <w:t xml:space="preserve">Alternative approaches to tender evaluation can be tested - </w:t>
      </w:r>
      <w:r>
        <w:t>like</w:t>
      </w:r>
      <w:r w:rsidR="00A047BF">
        <w:t>:</w:t>
      </w:r>
    </w:p>
    <w:p w:rsidR="00A047BF" w:rsidRDefault="00A047BF" w:rsidP="00EA28CC"/>
    <w:p w:rsidR="00A047BF" w:rsidRDefault="00A047BF" w:rsidP="00A047BF">
      <w:pPr>
        <w:pStyle w:val="ListParagraph"/>
        <w:numPr>
          <w:ilvl w:val="0"/>
          <w:numId w:val="7"/>
        </w:numPr>
        <w:ind w:left="567" w:hanging="567"/>
      </w:pPr>
      <w:r>
        <w:t>S</w:t>
      </w:r>
      <w:r w:rsidR="00EA28CC">
        <w:t xml:space="preserve">hort listing to say 3 suppliers based </w:t>
      </w:r>
      <w:r>
        <w:t xml:space="preserve">on </w:t>
      </w:r>
      <w:r w:rsidR="00EA28CC">
        <w:t>a limited set of non-price attributes</w:t>
      </w:r>
      <w:r w:rsidR="002F0A7A">
        <w:t xml:space="preserve"> – as if you had used a staged approach to supplier selection, initially requesting information on those non-price attributes alone.</w:t>
      </w:r>
    </w:p>
    <w:p w:rsidR="00A047BF" w:rsidRDefault="00A047BF" w:rsidP="00A047BF">
      <w:pPr>
        <w:pStyle w:val="ListParagraph"/>
        <w:numPr>
          <w:ilvl w:val="0"/>
          <w:numId w:val="7"/>
        </w:numPr>
        <w:ind w:left="567" w:hanging="567"/>
      </w:pPr>
      <w:r>
        <w:t xml:space="preserve">Using </w:t>
      </w:r>
      <w:r w:rsidR="002F0A7A">
        <w:t xml:space="preserve">a </w:t>
      </w:r>
      <w:r>
        <w:t>d</w:t>
      </w:r>
      <w:r w:rsidR="002F0A7A">
        <w:t>ifferent price weight</w:t>
      </w:r>
      <w:r w:rsidR="00EA28CC">
        <w:t xml:space="preserve"> </w:t>
      </w:r>
      <w:r>
        <w:t>–</w:t>
      </w:r>
      <w:r w:rsidR="00EA28CC">
        <w:t xml:space="preserve"> </w:t>
      </w:r>
      <w:r>
        <w:t xml:space="preserve">the </w:t>
      </w:r>
      <w:r w:rsidR="00EA28CC">
        <w:t xml:space="preserve">non-price attribute weights will need to be scaled to ensure that the sum of all weights is still 100. </w:t>
      </w:r>
    </w:p>
    <w:p w:rsidR="00EA28CC" w:rsidRDefault="00A047BF" w:rsidP="00A047BF">
      <w:pPr>
        <w:pStyle w:val="ListParagraph"/>
        <w:numPr>
          <w:ilvl w:val="0"/>
          <w:numId w:val="7"/>
        </w:numPr>
        <w:ind w:left="567" w:hanging="567"/>
      </w:pPr>
      <w:r>
        <w:t xml:space="preserve">Using </w:t>
      </w:r>
      <w:r w:rsidR="00EA28CC">
        <w:t>a pass / fail only test</w:t>
      </w:r>
      <w:r>
        <w:t xml:space="preserve">, a ‘nil’ weight, </w:t>
      </w:r>
      <w:r w:rsidR="00EA28CC">
        <w:t>on some attributes</w:t>
      </w:r>
      <w:r>
        <w:t xml:space="preserve"> – while </w:t>
      </w:r>
      <w:r w:rsidR="002F0A7A">
        <w:t xml:space="preserve">adjusting the other weights to make sure that the sum of all weights is still 100, possibly by </w:t>
      </w:r>
      <w:r>
        <w:t xml:space="preserve">scaling up the </w:t>
      </w:r>
      <w:r w:rsidR="00EA28CC">
        <w:t>weights for the other non-price attributes</w:t>
      </w:r>
      <w:r w:rsidR="002F0A7A">
        <w:t>.</w:t>
      </w:r>
      <w:r>
        <w:t xml:space="preserve"> </w:t>
      </w:r>
    </w:p>
    <w:p w:rsidR="00F2306F" w:rsidRPr="00F2306F" w:rsidRDefault="00F2306F" w:rsidP="00A047BF">
      <w:pPr>
        <w:ind w:left="567" w:hanging="567"/>
      </w:pPr>
    </w:p>
    <w:sectPr w:rsidR="00F2306F" w:rsidRPr="00F2306F" w:rsidSect="00820072">
      <w:footerReference w:type="default" r:id="rId12"/>
      <w:headerReference w:type="first" r:id="rId13"/>
      <w:footerReference w:type="first" r:id="rId14"/>
      <w:type w:val="continuous"/>
      <w:pgSz w:w="11907" w:h="16840" w:code="9"/>
      <w:pgMar w:top="-1848" w:right="1134" w:bottom="1134" w:left="1134" w:header="851" w:footer="584" w:gutter="0"/>
      <w:paperSrc w:first="7" w:other="7"/>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F30" w:rsidRDefault="001D5F30">
      <w:r>
        <w:separator/>
      </w:r>
    </w:p>
  </w:endnote>
  <w:endnote w:type="continuationSeparator" w:id="0">
    <w:p w:rsidR="001D5F30" w:rsidRDefault="001D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252" w:rsidRPr="0098629C" w:rsidRDefault="00842252" w:rsidP="00F2306F">
    <w:pPr>
      <w:pStyle w:val="Footer"/>
      <w:pBdr>
        <w:top w:val="single" w:sz="4" w:space="1" w:color="auto"/>
      </w:pBdr>
      <w:tabs>
        <w:tab w:val="clear" w:pos="8640"/>
        <w:tab w:val="right" w:pos="9639"/>
      </w:tabs>
      <w:rPr>
        <w:sz w:val="13"/>
        <w:szCs w:val="13"/>
        <w:lang w:val="en-US"/>
      </w:rPr>
    </w:pPr>
    <w:r>
      <w:rPr>
        <w:sz w:val="13"/>
        <w:szCs w:val="13"/>
        <w:lang w:val="en-US"/>
      </w:rPr>
      <w:tab/>
    </w:r>
    <w:r>
      <w:rPr>
        <w:sz w:val="13"/>
        <w:szCs w:val="13"/>
        <w:lang w:val="en-US"/>
      </w:rPr>
      <w:tab/>
    </w:r>
    <w:r>
      <w:rPr>
        <w:rStyle w:val="PageNumber"/>
      </w:rPr>
      <w:fldChar w:fldCharType="begin"/>
    </w:r>
    <w:r>
      <w:rPr>
        <w:rStyle w:val="PageNumber"/>
      </w:rPr>
      <w:instrText xml:space="preserve"> PAGE </w:instrText>
    </w:r>
    <w:r>
      <w:rPr>
        <w:rStyle w:val="PageNumber"/>
      </w:rPr>
      <w:fldChar w:fldCharType="separate"/>
    </w:r>
    <w:r w:rsidR="00F841E3">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252" w:rsidRPr="009D3334" w:rsidRDefault="00842252" w:rsidP="00842252">
    <w:pPr>
      <w:pStyle w:val="Contactinfo"/>
      <w:pBdr>
        <w:top w:val="single" w:sz="4" w:space="1" w:color="auto"/>
      </w:pBdr>
      <w:tabs>
        <w:tab w:val="right" w:pos="9498"/>
      </w:tabs>
      <w:ind w:left="0"/>
      <w:rPr>
        <w:sz w:val="16"/>
        <w:szCs w:val="16"/>
      </w:rPr>
    </w:pPr>
    <w:r w:rsidRPr="009D3334">
      <w:rPr>
        <w:sz w:val="16"/>
        <w:szCs w:val="16"/>
      </w:rPr>
      <w:tab/>
      <w:t xml:space="preserve">  </w:t>
    </w:r>
    <w:bookmarkStart w:id="19" w:name="bkmref"/>
    <w:r w:rsidRPr="009D3334">
      <w:rPr>
        <w:sz w:val="16"/>
        <w:szCs w:val="16"/>
      </w:rPr>
      <w:t xml:space="preserve">  </w:t>
    </w:r>
    <w:bookmarkEnd w:id="19"/>
    <w:r w:rsidRPr="009D3334">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F30" w:rsidRDefault="001D5F30">
      <w:r>
        <w:separator/>
      </w:r>
    </w:p>
  </w:footnote>
  <w:footnote w:type="continuationSeparator" w:id="0">
    <w:p w:rsidR="001D5F30" w:rsidRDefault="001D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252" w:rsidRPr="00DF067A" w:rsidRDefault="005860CE" w:rsidP="007A22E8">
    <w:pPr>
      <w:spacing w:before="360"/>
      <w:jc w:val="right"/>
      <w:rPr>
        <w:sz w:val="22"/>
        <w:szCs w:val="16"/>
        <w:lang w:val="en-US"/>
      </w:rPr>
    </w:pPr>
    <w:r w:rsidRPr="00F841E3">
      <w:rPr>
        <w:rFonts w:cs="Lucida Sans Unicode"/>
        <w:b/>
        <w:sz w:val="36"/>
        <w:szCs w:val="36"/>
        <w:lang w:val="en-US"/>
      </w:rPr>
      <w:drawing>
        <wp:anchor distT="0" distB="0" distL="114300" distR="114300" simplePos="0" relativeHeight="251658240" behindDoc="0" locked="0" layoutInCell="1" allowOverlap="1" wp14:anchorId="627640EF" wp14:editId="6DA5FAB2">
          <wp:simplePos x="0" y="0"/>
          <wp:positionH relativeFrom="column">
            <wp:posOffset>-205740</wp:posOffset>
          </wp:positionH>
          <wp:positionV relativeFrom="paragraph">
            <wp:posOffset>-16510</wp:posOffset>
          </wp:positionV>
          <wp:extent cx="2457851" cy="79200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TA Logo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7851" cy="792000"/>
                  </a:xfrm>
                  <a:prstGeom prst="rect">
                    <a:avLst/>
                  </a:prstGeom>
                </pic:spPr>
              </pic:pic>
            </a:graphicData>
          </a:graphic>
          <wp14:sizeRelH relativeFrom="page">
            <wp14:pctWidth>0</wp14:pctWidth>
          </wp14:sizeRelH>
          <wp14:sizeRelV relativeFrom="page">
            <wp14:pctHeight>0</wp14:pctHeight>
          </wp14:sizeRelV>
        </wp:anchor>
      </w:drawing>
    </w:r>
    <w:bookmarkStart w:id="6" w:name="bkmaddress1"/>
    <w:bookmarkEnd w:id="6"/>
    <w:r w:rsidR="00F841E3" w:rsidRPr="00F841E3">
      <w:rPr>
        <w:rFonts w:cs="Lucida Sans Unicode"/>
        <w:b/>
        <w:sz w:val="36"/>
        <w:szCs w:val="36"/>
        <w:lang w:val="en-US"/>
      </w:rPr>
      <w:t>P</w:t>
    </w:r>
    <w:r w:rsidR="00F841E3">
      <w:rPr>
        <w:rFonts w:cs="Lucida Sans Unicode"/>
        <w:b/>
        <w:sz w:val="36"/>
        <w:szCs w:val="36"/>
        <w:lang w:val="en-US"/>
      </w:rPr>
      <w:t>RACTICE</w:t>
    </w:r>
    <w:r w:rsidR="00842252" w:rsidRPr="00B83BF4">
      <w:rPr>
        <w:rFonts w:cs="Lucida Sans Unicode"/>
        <w:b/>
        <w:sz w:val="36"/>
        <w:szCs w:val="36"/>
        <w:lang w:val="en-US"/>
      </w:rPr>
      <w:t xml:space="preserve"> NOTE</w:t>
    </w:r>
  </w:p>
  <w:p w:rsidR="00842252" w:rsidRPr="00D14602" w:rsidRDefault="00842252" w:rsidP="00F2306F">
    <w:pPr>
      <w:spacing w:before="60" w:line="230" w:lineRule="exact"/>
      <w:jc w:val="right"/>
      <w:rPr>
        <w:szCs w:val="16"/>
        <w:lang w:val="en-US"/>
      </w:rPr>
    </w:pPr>
    <w:bookmarkStart w:id="7" w:name="bkmaddress2"/>
    <w:bookmarkEnd w:id="7"/>
  </w:p>
  <w:p w:rsidR="00842252" w:rsidRDefault="00842252" w:rsidP="00F2306F">
    <w:pPr>
      <w:spacing w:line="230" w:lineRule="exact"/>
      <w:jc w:val="right"/>
      <w:rPr>
        <w:sz w:val="16"/>
        <w:szCs w:val="16"/>
        <w:lang w:val="en-US"/>
      </w:rPr>
    </w:pPr>
    <w:bookmarkStart w:id="8" w:name="bkmaddress3"/>
    <w:bookmarkEnd w:id="8"/>
  </w:p>
  <w:p w:rsidR="00842252" w:rsidRPr="00B631E3" w:rsidRDefault="00842252" w:rsidP="00F2306F">
    <w:pPr>
      <w:spacing w:line="230" w:lineRule="exact"/>
      <w:jc w:val="right"/>
      <w:rPr>
        <w:sz w:val="16"/>
        <w:szCs w:val="16"/>
        <w:lang w:val="en-US"/>
      </w:rPr>
    </w:pPr>
    <w:bookmarkStart w:id="9" w:name="bkmaddress4"/>
    <w:bookmarkEnd w:id="9"/>
  </w:p>
  <w:p w:rsidR="00842252" w:rsidRPr="00B631E3" w:rsidRDefault="00842252" w:rsidP="00F2306F">
    <w:pPr>
      <w:spacing w:line="230" w:lineRule="exact"/>
      <w:jc w:val="right"/>
      <w:rPr>
        <w:sz w:val="16"/>
        <w:szCs w:val="16"/>
        <w:lang w:val="en-US"/>
      </w:rPr>
    </w:pPr>
    <w:bookmarkStart w:id="10" w:name="bkmaddress5"/>
    <w:bookmarkEnd w:id="10"/>
  </w:p>
  <w:p w:rsidR="00842252" w:rsidRPr="00B631E3" w:rsidRDefault="00842252" w:rsidP="00F2306F">
    <w:pPr>
      <w:spacing w:line="230" w:lineRule="exact"/>
      <w:jc w:val="right"/>
      <w:rPr>
        <w:sz w:val="16"/>
        <w:szCs w:val="16"/>
        <w:lang w:val="en-US"/>
      </w:rPr>
    </w:pPr>
    <w:bookmarkStart w:id="11" w:name="bkmaddress6"/>
    <w:bookmarkEnd w:id="11"/>
  </w:p>
  <w:p w:rsidR="00842252" w:rsidRPr="00B631E3" w:rsidRDefault="00842252" w:rsidP="00F2306F">
    <w:pPr>
      <w:spacing w:line="230" w:lineRule="exact"/>
      <w:jc w:val="right"/>
      <w:rPr>
        <w:sz w:val="16"/>
        <w:szCs w:val="16"/>
        <w:lang w:val="en-US"/>
      </w:rPr>
    </w:pPr>
    <w:bookmarkStart w:id="12" w:name="bkmaddress7"/>
    <w:bookmarkEnd w:id="12"/>
  </w:p>
  <w:p w:rsidR="00842252" w:rsidRPr="00B631E3" w:rsidRDefault="00842252" w:rsidP="00F2306F">
    <w:pPr>
      <w:spacing w:line="230" w:lineRule="exact"/>
      <w:jc w:val="right"/>
      <w:rPr>
        <w:sz w:val="16"/>
        <w:szCs w:val="16"/>
        <w:lang w:val="en-US"/>
      </w:rPr>
    </w:pPr>
    <w:bookmarkStart w:id="13" w:name="bkmaddress8"/>
    <w:bookmarkEnd w:id="13"/>
  </w:p>
  <w:p w:rsidR="00842252" w:rsidRPr="00B631E3" w:rsidRDefault="00842252" w:rsidP="00F2306F">
    <w:pPr>
      <w:spacing w:line="230" w:lineRule="exact"/>
      <w:jc w:val="right"/>
      <w:rPr>
        <w:sz w:val="16"/>
        <w:szCs w:val="16"/>
        <w:lang w:val="en-US"/>
      </w:rPr>
    </w:pPr>
    <w:bookmarkStart w:id="14" w:name="bkmaddress9"/>
    <w:bookmarkEnd w:id="14"/>
  </w:p>
  <w:p w:rsidR="00842252" w:rsidRPr="00B631E3" w:rsidRDefault="00842252" w:rsidP="00F2306F">
    <w:pPr>
      <w:spacing w:line="230" w:lineRule="exact"/>
      <w:jc w:val="right"/>
      <w:rPr>
        <w:sz w:val="16"/>
        <w:szCs w:val="16"/>
        <w:lang w:val="en-US"/>
      </w:rPr>
    </w:pPr>
    <w:bookmarkStart w:id="15" w:name="bkmaddress10"/>
    <w:bookmarkEnd w:id="15"/>
  </w:p>
  <w:p w:rsidR="00842252" w:rsidRPr="00B631E3" w:rsidRDefault="00842252" w:rsidP="00F2306F">
    <w:pPr>
      <w:spacing w:line="230" w:lineRule="exact"/>
      <w:jc w:val="right"/>
      <w:rPr>
        <w:sz w:val="16"/>
        <w:szCs w:val="16"/>
        <w:lang w:val="en-US"/>
      </w:rPr>
    </w:pPr>
    <w:bookmarkStart w:id="16" w:name="bkmaddress11"/>
    <w:bookmarkEnd w:id="16"/>
  </w:p>
  <w:p w:rsidR="00842252" w:rsidRPr="00B631E3" w:rsidRDefault="00842252" w:rsidP="00F2306F">
    <w:pPr>
      <w:spacing w:line="230" w:lineRule="exact"/>
      <w:jc w:val="right"/>
      <w:rPr>
        <w:sz w:val="16"/>
        <w:szCs w:val="16"/>
        <w:lang w:val="en-US"/>
      </w:rPr>
    </w:pPr>
    <w:bookmarkStart w:id="17" w:name="bkmaddress12"/>
    <w:bookmarkEnd w:id="17"/>
  </w:p>
  <w:p w:rsidR="00842252" w:rsidRPr="00B631E3" w:rsidRDefault="00842252" w:rsidP="00F2306F">
    <w:pPr>
      <w:spacing w:line="230" w:lineRule="exact"/>
      <w:jc w:val="right"/>
      <w:rPr>
        <w:sz w:val="16"/>
        <w:szCs w:val="16"/>
        <w:lang w:val="en-US"/>
      </w:rPr>
    </w:pPr>
    <w:bookmarkStart w:id="18" w:name="bkmaddress13"/>
    <w:bookmarkEnd w:id="18"/>
  </w:p>
  <w:p w:rsidR="00842252" w:rsidRPr="00B631E3" w:rsidRDefault="00842252" w:rsidP="00F2306F">
    <w:pPr>
      <w:spacing w:line="230" w:lineRule="exact"/>
      <w:jc w:val="right"/>
      <w:rPr>
        <w:sz w:val="16"/>
        <w:szCs w:val="16"/>
        <w:lang w:val="en-US"/>
      </w:rPr>
    </w:pPr>
  </w:p>
  <w:p w:rsidR="00842252" w:rsidRPr="00B631E3" w:rsidRDefault="00842252" w:rsidP="00F2306F">
    <w:pPr>
      <w:spacing w:line="230" w:lineRule="exact"/>
      <w:jc w:val="right"/>
      <w:rPr>
        <w:sz w:val="16"/>
        <w:szCs w:val="16"/>
        <w:lang w:val="en-US"/>
      </w:rPr>
    </w:pPr>
  </w:p>
  <w:p w:rsidR="00842252" w:rsidRPr="00B631E3" w:rsidRDefault="00842252" w:rsidP="00F2306F">
    <w:pPr>
      <w:spacing w:line="230" w:lineRule="exact"/>
      <w:jc w:val="right"/>
      <w:rPr>
        <w:sz w:val="16"/>
        <w:szCs w:val="16"/>
        <w:lang w:val="en-US"/>
      </w:rPr>
    </w:pPr>
  </w:p>
  <w:p w:rsidR="00842252" w:rsidRDefault="00842252" w:rsidP="00F2306F">
    <w:pPr>
      <w:pStyle w:val="Header"/>
    </w:pPr>
  </w:p>
  <w:p w:rsidR="00842252" w:rsidRDefault="00842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89CACB8"/>
    <w:lvl w:ilvl="0">
      <w:start w:val="1"/>
      <w:numFmt w:val="lowerLetter"/>
      <w:pStyle w:val="List-Lettered"/>
      <w:lvlText w:val="%1."/>
      <w:lvlJc w:val="left"/>
      <w:pPr>
        <w:tabs>
          <w:tab w:val="num" w:pos="644"/>
        </w:tabs>
        <w:ind w:left="644" w:hanging="360"/>
      </w:pPr>
      <w:rPr>
        <w:rFonts w:ascii="Arial" w:hAnsi="Arial" w:hint="default"/>
        <w:sz w:val="20"/>
        <w:szCs w:val="20"/>
      </w:rPr>
    </w:lvl>
  </w:abstractNum>
  <w:abstractNum w:abstractNumId="1" w15:restartNumberingAfterBreak="0">
    <w:nsid w:val="063E291E"/>
    <w:multiLevelType w:val="multilevel"/>
    <w:tmpl w:val="1FE6434E"/>
    <w:lvl w:ilvl="0">
      <w:start w:val="1"/>
      <w:numFmt w:val="bullet"/>
      <w:pStyle w:val="List-Bullets"/>
      <w:lvlText w:val=""/>
      <w:lvlJc w:val="left"/>
      <w:pPr>
        <w:tabs>
          <w:tab w:val="num" w:pos="360"/>
        </w:tabs>
        <w:ind w:left="360" w:hanging="360"/>
      </w:pPr>
      <w:rPr>
        <w:rFonts w:ascii="Wingdings" w:hAnsi="Wingdings" w:hint="default"/>
        <w:color w:val="auto"/>
        <w:sz w:val="12"/>
        <w:szCs w:val="1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3581C59"/>
    <w:multiLevelType w:val="hybridMultilevel"/>
    <w:tmpl w:val="6A2C99F4"/>
    <w:lvl w:ilvl="0" w:tplc="6FB6355A">
      <w:start w:val="1"/>
      <w:numFmt w:val="decimal"/>
      <w:lvlText w:val="%1."/>
      <w:lvlJc w:val="left"/>
      <w:pPr>
        <w:ind w:left="765" w:hanging="360"/>
      </w:pPr>
      <w:rPr>
        <w:rFonts w:hint="default"/>
      </w:r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3" w15:restartNumberingAfterBreak="0">
    <w:nsid w:val="4A026061"/>
    <w:multiLevelType w:val="hybridMultilevel"/>
    <w:tmpl w:val="535459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03C6281"/>
    <w:multiLevelType w:val="multilevel"/>
    <w:tmpl w:val="D45C7AC4"/>
    <w:lvl w:ilvl="0">
      <w:start w:val="1"/>
      <w:numFmt w:val="decimal"/>
      <w:pStyle w:val="List-Number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57E35E05"/>
    <w:multiLevelType w:val="hybridMultilevel"/>
    <w:tmpl w:val="0D8C09F6"/>
    <w:lvl w:ilvl="0" w:tplc="7548E75A">
      <w:start w:val="1"/>
      <w:numFmt w:val="decimal"/>
      <w:lvlText w:val="%1."/>
      <w:lvlJc w:val="lef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num w:numId="1">
    <w:abstractNumId w:val="1"/>
  </w:num>
  <w:num w:numId="2">
    <w:abstractNumId w:val="0"/>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30"/>
    <w:rsid w:val="0000044C"/>
    <w:rsid w:val="000005A8"/>
    <w:rsid w:val="00002481"/>
    <w:rsid w:val="00002613"/>
    <w:rsid w:val="00003348"/>
    <w:rsid w:val="00004C96"/>
    <w:rsid w:val="0000601D"/>
    <w:rsid w:val="000061EF"/>
    <w:rsid w:val="00006EE1"/>
    <w:rsid w:val="00010BA2"/>
    <w:rsid w:val="00013F32"/>
    <w:rsid w:val="000142C8"/>
    <w:rsid w:val="00014BD2"/>
    <w:rsid w:val="00020007"/>
    <w:rsid w:val="0002516E"/>
    <w:rsid w:val="00025442"/>
    <w:rsid w:val="00026CD8"/>
    <w:rsid w:val="000277FE"/>
    <w:rsid w:val="00027866"/>
    <w:rsid w:val="00027D32"/>
    <w:rsid w:val="00034115"/>
    <w:rsid w:val="00034948"/>
    <w:rsid w:val="000450E0"/>
    <w:rsid w:val="00046D6C"/>
    <w:rsid w:val="00051571"/>
    <w:rsid w:val="000552BB"/>
    <w:rsid w:val="0005740B"/>
    <w:rsid w:val="00057EF4"/>
    <w:rsid w:val="000606AB"/>
    <w:rsid w:val="000618E6"/>
    <w:rsid w:val="00062501"/>
    <w:rsid w:val="00070EFE"/>
    <w:rsid w:val="00071722"/>
    <w:rsid w:val="0008150A"/>
    <w:rsid w:val="00081C62"/>
    <w:rsid w:val="000823BA"/>
    <w:rsid w:val="00082B02"/>
    <w:rsid w:val="00082E2E"/>
    <w:rsid w:val="00083189"/>
    <w:rsid w:val="00085949"/>
    <w:rsid w:val="00092691"/>
    <w:rsid w:val="00092FF6"/>
    <w:rsid w:val="0009317B"/>
    <w:rsid w:val="000952AD"/>
    <w:rsid w:val="000973DB"/>
    <w:rsid w:val="0009762C"/>
    <w:rsid w:val="000A0963"/>
    <w:rsid w:val="000A70E1"/>
    <w:rsid w:val="000B079C"/>
    <w:rsid w:val="000B0FAF"/>
    <w:rsid w:val="000B3B24"/>
    <w:rsid w:val="000B451F"/>
    <w:rsid w:val="000B55E5"/>
    <w:rsid w:val="000B608C"/>
    <w:rsid w:val="000B6A38"/>
    <w:rsid w:val="000C0704"/>
    <w:rsid w:val="000C1842"/>
    <w:rsid w:val="000C2C43"/>
    <w:rsid w:val="000C2F09"/>
    <w:rsid w:val="000C4857"/>
    <w:rsid w:val="000C6A28"/>
    <w:rsid w:val="000C79E3"/>
    <w:rsid w:val="000D3E61"/>
    <w:rsid w:val="000D517E"/>
    <w:rsid w:val="000D60DD"/>
    <w:rsid w:val="000D6FEC"/>
    <w:rsid w:val="000D7BFA"/>
    <w:rsid w:val="000E19A5"/>
    <w:rsid w:val="000E1F51"/>
    <w:rsid w:val="000E3C95"/>
    <w:rsid w:val="000E473F"/>
    <w:rsid w:val="000E6560"/>
    <w:rsid w:val="000E6ADB"/>
    <w:rsid w:val="000F1620"/>
    <w:rsid w:val="000F16C9"/>
    <w:rsid w:val="000F2673"/>
    <w:rsid w:val="000F2772"/>
    <w:rsid w:val="000F2F2D"/>
    <w:rsid w:val="000F453D"/>
    <w:rsid w:val="000F459B"/>
    <w:rsid w:val="000F49BA"/>
    <w:rsid w:val="000F512D"/>
    <w:rsid w:val="000F5580"/>
    <w:rsid w:val="000F7DE0"/>
    <w:rsid w:val="001012C5"/>
    <w:rsid w:val="001012D8"/>
    <w:rsid w:val="0010134E"/>
    <w:rsid w:val="00104BD3"/>
    <w:rsid w:val="0010548B"/>
    <w:rsid w:val="00105D87"/>
    <w:rsid w:val="00105DFE"/>
    <w:rsid w:val="001060F2"/>
    <w:rsid w:val="001073E6"/>
    <w:rsid w:val="00110C11"/>
    <w:rsid w:val="001112B8"/>
    <w:rsid w:val="001121DD"/>
    <w:rsid w:val="00113D24"/>
    <w:rsid w:val="00114616"/>
    <w:rsid w:val="001154FB"/>
    <w:rsid w:val="00120F96"/>
    <w:rsid w:val="00121C75"/>
    <w:rsid w:val="00122A76"/>
    <w:rsid w:val="0012328B"/>
    <w:rsid w:val="00123C85"/>
    <w:rsid w:val="00125BA3"/>
    <w:rsid w:val="00127EDA"/>
    <w:rsid w:val="00134241"/>
    <w:rsid w:val="00140234"/>
    <w:rsid w:val="00141423"/>
    <w:rsid w:val="0014179F"/>
    <w:rsid w:val="00141890"/>
    <w:rsid w:val="00144E30"/>
    <w:rsid w:val="00151374"/>
    <w:rsid w:val="00154010"/>
    <w:rsid w:val="00154DD4"/>
    <w:rsid w:val="001550AB"/>
    <w:rsid w:val="00156425"/>
    <w:rsid w:val="00156D04"/>
    <w:rsid w:val="00160109"/>
    <w:rsid w:val="001617A1"/>
    <w:rsid w:val="00163FCE"/>
    <w:rsid w:val="001642D0"/>
    <w:rsid w:val="001646D5"/>
    <w:rsid w:val="001662C1"/>
    <w:rsid w:val="001668E2"/>
    <w:rsid w:val="0016725A"/>
    <w:rsid w:val="00171054"/>
    <w:rsid w:val="001727A3"/>
    <w:rsid w:val="00172B35"/>
    <w:rsid w:val="0017315F"/>
    <w:rsid w:val="00180B5C"/>
    <w:rsid w:val="00180BE0"/>
    <w:rsid w:val="00181F16"/>
    <w:rsid w:val="00182552"/>
    <w:rsid w:val="00185F53"/>
    <w:rsid w:val="00187A9A"/>
    <w:rsid w:val="00190E9D"/>
    <w:rsid w:val="00194E2F"/>
    <w:rsid w:val="00195E5D"/>
    <w:rsid w:val="001A0042"/>
    <w:rsid w:val="001A1BC1"/>
    <w:rsid w:val="001A1D59"/>
    <w:rsid w:val="001A24DA"/>
    <w:rsid w:val="001A2BD7"/>
    <w:rsid w:val="001A2DD0"/>
    <w:rsid w:val="001A513E"/>
    <w:rsid w:val="001A5238"/>
    <w:rsid w:val="001A555C"/>
    <w:rsid w:val="001B119F"/>
    <w:rsid w:val="001B2D9E"/>
    <w:rsid w:val="001B3703"/>
    <w:rsid w:val="001B39DC"/>
    <w:rsid w:val="001B3C97"/>
    <w:rsid w:val="001B4270"/>
    <w:rsid w:val="001B52EC"/>
    <w:rsid w:val="001C0FBE"/>
    <w:rsid w:val="001C2E34"/>
    <w:rsid w:val="001C4E78"/>
    <w:rsid w:val="001C6AB9"/>
    <w:rsid w:val="001C7520"/>
    <w:rsid w:val="001D0C44"/>
    <w:rsid w:val="001D1557"/>
    <w:rsid w:val="001D498D"/>
    <w:rsid w:val="001D5F30"/>
    <w:rsid w:val="001D6E6C"/>
    <w:rsid w:val="001D6FEE"/>
    <w:rsid w:val="001D76F4"/>
    <w:rsid w:val="001D7F28"/>
    <w:rsid w:val="001E0292"/>
    <w:rsid w:val="001E03A0"/>
    <w:rsid w:val="001E0C3D"/>
    <w:rsid w:val="001E1786"/>
    <w:rsid w:val="001E1AB5"/>
    <w:rsid w:val="001E1F63"/>
    <w:rsid w:val="001E24AA"/>
    <w:rsid w:val="001E2554"/>
    <w:rsid w:val="001E4A39"/>
    <w:rsid w:val="001E6147"/>
    <w:rsid w:val="001E63C4"/>
    <w:rsid w:val="001F12BE"/>
    <w:rsid w:val="001F13C0"/>
    <w:rsid w:val="001F1524"/>
    <w:rsid w:val="001F2FD9"/>
    <w:rsid w:val="001F34B4"/>
    <w:rsid w:val="001F3D2D"/>
    <w:rsid w:val="001F4FD6"/>
    <w:rsid w:val="001F595B"/>
    <w:rsid w:val="001F6D34"/>
    <w:rsid w:val="001F7C0D"/>
    <w:rsid w:val="002002A1"/>
    <w:rsid w:val="00200C18"/>
    <w:rsid w:val="002015B3"/>
    <w:rsid w:val="00202974"/>
    <w:rsid w:val="002034DC"/>
    <w:rsid w:val="00203EC8"/>
    <w:rsid w:val="00205D7F"/>
    <w:rsid w:val="00207336"/>
    <w:rsid w:val="002152D6"/>
    <w:rsid w:val="0021548A"/>
    <w:rsid w:val="00215A9B"/>
    <w:rsid w:val="0021677D"/>
    <w:rsid w:val="00222031"/>
    <w:rsid w:val="0022226E"/>
    <w:rsid w:val="00222F2F"/>
    <w:rsid w:val="0022402A"/>
    <w:rsid w:val="0022434D"/>
    <w:rsid w:val="00224489"/>
    <w:rsid w:val="002265F0"/>
    <w:rsid w:val="00227DA4"/>
    <w:rsid w:val="00230487"/>
    <w:rsid w:val="00231986"/>
    <w:rsid w:val="00232E9A"/>
    <w:rsid w:val="002338A8"/>
    <w:rsid w:val="00233A0E"/>
    <w:rsid w:val="00234176"/>
    <w:rsid w:val="00234E2A"/>
    <w:rsid w:val="00235A9E"/>
    <w:rsid w:val="002370E6"/>
    <w:rsid w:val="002423FF"/>
    <w:rsid w:val="00247961"/>
    <w:rsid w:val="00247DBE"/>
    <w:rsid w:val="00250B2D"/>
    <w:rsid w:val="0025105C"/>
    <w:rsid w:val="002550B9"/>
    <w:rsid w:val="002559DB"/>
    <w:rsid w:val="00255CBF"/>
    <w:rsid w:val="00256577"/>
    <w:rsid w:val="002570D4"/>
    <w:rsid w:val="00261F1C"/>
    <w:rsid w:val="00262410"/>
    <w:rsid w:val="0026465B"/>
    <w:rsid w:val="002726BB"/>
    <w:rsid w:val="0027303D"/>
    <w:rsid w:val="00277268"/>
    <w:rsid w:val="00277724"/>
    <w:rsid w:val="00280CF8"/>
    <w:rsid w:val="00280EF2"/>
    <w:rsid w:val="00292E14"/>
    <w:rsid w:val="00295080"/>
    <w:rsid w:val="002954C5"/>
    <w:rsid w:val="0029781F"/>
    <w:rsid w:val="002A0B7C"/>
    <w:rsid w:val="002A2835"/>
    <w:rsid w:val="002B3CE0"/>
    <w:rsid w:val="002B5D6A"/>
    <w:rsid w:val="002C045C"/>
    <w:rsid w:val="002C04D7"/>
    <w:rsid w:val="002C102C"/>
    <w:rsid w:val="002C1D6A"/>
    <w:rsid w:val="002C34F4"/>
    <w:rsid w:val="002C704D"/>
    <w:rsid w:val="002D36A3"/>
    <w:rsid w:val="002D485E"/>
    <w:rsid w:val="002D54E3"/>
    <w:rsid w:val="002D7A35"/>
    <w:rsid w:val="002E1192"/>
    <w:rsid w:val="002E2934"/>
    <w:rsid w:val="002E5761"/>
    <w:rsid w:val="002E6D0A"/>
    <w:rsid w:val="002F0A7A"/>
    <w:rsid w:val="002F26DE"/>
    <w:rsid w:val="002F3B8C"/>
    <w:rsid w:val="002F4463"/>
    <w:rsid w:val="002F5522"/>
    <w:rsid w:val="002F5BFE"/>
    <w:rsid w:val="002F66FD"/>
    <w:rsid w:val="00301B16"/>
    <w:rsid w:val="00302EFC"/>
    <w:rsid w:val="00303E2F"/>
    <w:rsid w:val="0030477A"/>
    <w:rsid w:val="00304C93"/>
    <w:rsid w:val="00304CBA"/>
    <w:rsid w:val="00305775"/>
    <w:rsid w:val="00313658"/>
    <w:rsid w:val="00314135"/>
    <w:rsid w:val="00314352"/>
    <w:rsid w:val="003168BB"/>
    <w:rsid w:val="00317640"/>
    <w:rsid w:val="003215A0"/>
    <w:rsid w:val="00321DF2"/>
    <w:rsid w:val="00321E6A"/>
    <w:rsid w:val="00322621"/>
    <w:rsid w:val="0032280C"/>
    <w:rsid w:val="003235D2"/>
    <w:rsid w:val="00323AD9"/>
    <w:rsid w:val="0032414D"/>
    <w:rsid w:val="00324A33"/>
    <w:rsid w:val="00330108"/>
    <w:rsid w:val="00330538"/>
    <w:rsid w:val="00331570"/>
    <w:rsid w:val="00336B8E"/>
    <w:rsid w:val="00336CAA"/>
    <w:rsid w:val="00340191"/>
    <w:rsid w:val="003423B2"/>
    <w:rsid w:val="00343CCB"/>
    <w:rsid w:val="00343D6E"/>
    <w:rsid w:val="003440F6"/>
    <w:rsid w:val="00346E6F"/>
    <w:rsid w:val="003471E3"/>
    <w:rsid w:val="00352AD9"/>
    <w:rsid w:val="00353B12"/>
    <w:rsid w:val="00353C45"/>
    <w:rsid w:val="003541A6"/>
    <w:rsid w:val="0035550E"/>
    <w:rsid w:val="00356E61"/>
    <w:rsid w:val="003601D6"/>
    <w:rsid w:val="00361223"/>
    <w:rsid w:val="00362A0A"/>
    <w:rsid w:val="00362ADD"/>
    <w:rsid w:val="00363829"/>
    <w:rsid w:val="0036634E"/>
    <w:rsid w:val="00372650"/>
    <w:rsid w:val="0037323A"/>
    <w:rsid w:val="00373D39"/>
    <w:rsid w:val="00374A5F"/>
    <w:rsid w:val="00374C9F"/>
    <w:rsid w:val="00381F23"/>
    <w:rsid w:val="003824EF"/>
    <w:rsid w:val="003842B6"/>
    <w:rsid w:val="003868BD"/>
    <w:rsid w:val="00391D71"/>
    <w:rsid w:val="00395D53"/>
    <w:rsid w:val="003961F8"/>
    <w:rsid w:val="00396A2C"/>
    <w:rsid w:val="003A3B64"/>
    <w:rsid w:val="003A44DB"/>
    <w:rsid w:val="003A7993"/>
    <w:rsid w:val="003B0D04"/>
    <w:rsid w:val="003B13B6"/>
    <w:rsid w:val="003B3B9A"/>
    <w:rsid w:val="003B47E2"/>
    <w:rsid w:val="003B7839"/>
    <w:rsid w:val="003C2778"/>
    <w:rsid w:val="003C29F6"/>
    <w:rsid w:val="003C3730"/>
    <w:rsid w:val="003C4DB6"/>
    <w:rsid w:val="003C5550"/>
    <w:rsid w:val="003C5D15"/>
    <w:rsid w:val="003C5DBB"/>
    <w:rsid w:val="003C7595"/>
    <w:rsid w:val="003D26E4"/>
    <w:rsid w:val="003E2388"/>
    <w:rsid w:val="003E2AF7"/>
    <w:rsid w:val="003E54A7"/>
    <w:rsid w:val="003E673C"/>
    <w:rsid w:val="003E6A1E"/>
    <w:rsid w:val="003E6A35"/>
    <w:rsid w:val="003F289A"/>
    <w:rsid w:val="003F34EA"/>
    <w:rsid w:val="003F4AE4"/>
    <w:rsid w:val="003F5281"/>
    <w:rsid w:val="003F7BB8"/>
    <w:rsid w:val="004122A4"/>
    <w:rsid w:val="00412359"/>
    <w:rsid w:val="00413B56"/>
    <w:rsid w:val="0041532A"/>
    <w:rsid w:val="00415EA0"/>
    <w:rsid w:val="004229AE"/>
    <w:rsid w:val="00425067"/>
    <w:rsid w:val="00425B41"/>
    <w:rsid w:val="004350EA"/>
    <w:rsid w:val="004355E0"/>
    <w:rsid w:val="00435851"/>
    <w:rsid w:val="00435A67"/>
    <w:rsid w:val="00436956"/>
    <w:rsid w:val="00440166"/>
    <w:rsid w:val="004409B2"/>
    <w:rsid w:val="00441090"/>
    <w:rsid w:val="004430C5"/>
    <w:rsid w:val="00445C83"/>
    <w:rsid w:val="00453645"/>
    <w:rsid w:val="004555D3"/>
    <w:rsid w:val="00457636"/>
    <w:rsid w:val="0046163D"/>
    <w:rsid w:val="00463427"/>
    <w:rsid w:val="00464B02"/>
    <w:rsid w:val="00466820"/>
    <w:rsid w:val="00466DDC"/>
    <w:rsid w:val="004712E3"/>
    <w:rsid w:val="00471F1D"/>
    <w:rsid w:val="004725C9"/>
    <w:rsid w:val="004729E6"/>
    <w:rsid w:val="00472D60"/>
    <w:rsid w:val="00473FB6"/>
    <w:rsid w:val="004746B5"/>
    <w:rsid w:val="00474B4A"/>
    <w:rsid w:val="004773D5"/>
    <w:rsid w:val="00480730"/>
    <w:rsid w:val="004813CC"/>
    <w:rsid w:val="004866C0"/>
    <w:rsid w:val="00487088"/>
    <w:rsid w:val="0049237C"/>
    <w:rsid w:val="00496083"/>
    <w:rsid w:val="00496233"/>
    <w:rsid w:val="00496C9C"/>
    <w:rsid w:val="00497514"/>
    <w:rsid w:val="004A0C5D"/>
    <w:rsid w:val="004A2221"/>
    <w:rsid w:val="004A50F7"/>
    <w:rsid w:val="004B210A"/>
    <w:rsid w:val="004B2F1B"/>
    <w:rsid w:val="004B4F9E"/>
    <w:rsid w:val="004B62A2"/>
    <w:rsid w:val="004B6B39"/>
    <w:rsid w:val="004B6C8F"/>
    <w:rsid w:val="004C14CB"/>
    <w:rsid w:val="004C2BE4"/>
    <w:rsid w:val="004C4CC1"/>
    <w:rsid w:val="004C6D38"/>
    <w:rsid w:val="004C6F43"/>
    <w:rsid w:val="004D0E47"/>
    <w:rsid w:val="004D1997"/>
    <w:rsid w:val="004D230E"/>
    <w:rsid w:val="004D24CA"/>
    <w:rsid w:val="004D319B"/>
    <w:rsid w:val="004D4441"/>
    <w:rsid w:val="004D4516"/>
    <w:rsid w:val="004D4C02"/>
    <w:rsid w:val="004E3F05"/>
    <w:rsid w:val="004E44C2"/>
    <w:rsid w:val="004E456F"/>
    <w:rsid w:val="004E4DC9"/>
    <w:rsid w:val="004E6368"/>
    <w:rsid w:val="004E690D"/>
    <w:rsid w:val="004E6A67"/>
    <w:rsid w:val="004F0E56"/>
    <w:rsid w:val="004F0F90"/>
    <w:rsid w:val="004F4D45"/>
    <w:rsid w:val="004F5341"/>
    <w:rsid w:val="004F57AC"/>
    <w:rsid w:val="004F66DE"/>
    <w:rsid w:val="004F6DD1"/>
    <w:rsid w:val="004F7612"/>
    <w:rsid w:val="005024AF"/>
    <w:rsid w:val="005034A2"/>
    <w:rsid w:val="00503969"/>
    <w:rsid w:val="0050584C"/>
    <w:rsid w:val="00510320"/>
    <w:rsid w:val="0051098B"/>
    <w:rsid w:val="00511362"/>
    <w:rsid w:val="00511991"/>
    <w:rsid w:val="00512DB3"/>
    <w:rsid w:val="00514EFF"/>
    <w:rsid w:val="00515DC3"/>
    <w:rsid w:val="00516462"/>
    <w:rsid w:val="0052634C"/>
    <w:rsid w:val="005268A5"/>
    <w:rsid w:val="005335E6"/>
    <w:rsid w:val="00533F4F"/>
    <w:rsid w:val="00534C16"/>
    <w:rsid w:val="00537506"/>
    <w:rsid w:val="00543A6F"/>
    <w:rsid w:val="005450C1"/>
    <w:rsid w:val="00546349"/>
    <w:rsid w:val="00546E82"/>
    <w:rsid w:val="00546F5E"/>
    <w:rsid w:val="00546F6E"/>
    <w:rsid w:val="00547631"/>
    <w:rsid w:val="0054787A"/>
    <w:rsid w:val="00550062"/>
    <w:rsid w:val="005539C9"/>
    <w:rsid w:val="00553A77"/>
    <w:rsid w:val="00554F06"/>
    <w:rsid w:val="00554FA1"/>
    <w:rsid w:val="00561EB2"/>
    <w:rsid w:val="00562076"/>
    <w:rsid w:val="005624C6"/>
    <w:rsid w:val="00564202"/>
    <w:rsid w:val="00564B76"/>
    <w:rsid w:val="005669E0"/>
    <w:rsid w:val="0057078A"/>
    <w:rsid w:val="00576C89"/>
    <w:rsid w:val="00577D2F"/>
    <w:rsid w:val="005808F0"/>
    <w:rsid w:val="00581A5E"/>
    <w:rsid w:val="005842DF"/>
    <w:rsid w:val="0058483F"/>
    <w:rsid w:val="00585168"/>
    <w:rsid w:val="005860CE"/>
    <w:rsid w:val="005864FC"/>
    <w:rsid w:val="00586840"/>
    <w:rsid w:val="00587D66"/>
    <w:rsid w:val="00590BE9"/>
    <w:rsid w:val="00590EFB"/>
    <w:rsid w:val="00591DFF"/>
    <w:rsid w:val="00591E65"/>
    <w:rsid w:val="005A70A6"/>
    <w:rsid w:val="005B1206"/>
    <w:rsid w:val="005B14B6"/>
    <w:rsid w:val="005B1A69"/>
    <w:rsid w:val="005B3D04"/>
    <w:rsid w:val="005B6F41"/>
    <w:rsid w:val="005C1521"/>
    <w:rsid w:val="005D053A"/>
    <w:rsid w:val="005D0AE2"/>
    <w:rsid w:val="005D1189"/>
    <w:rsid w:val="005D295B"/>
    <w:rsid w:val="005D4B08"/>
    <w:rsid w:val="005D4C45"/>
    <w:rsid w:val="005E026B"/>
    <w:rsid w:val="005E0C61"/>
    <w:rsid w:val="005E1ED8"/>
    <w:rsid w:val="005E5B78"/>
    <w:rsid w:val="005E604C"/>
    <w:rsid w:val="005E7E66"/>
    <w:rsid w:val="005F0AED"/>
    <w:rsid w:val="005F0EF5"/>
    <w:rsid w:val="005F1FD7"/>
    <w:rsid w:val="005F28C7"/>
    <w:rsid w:val="005F4A2D"/>
    <w:rsid w:val="005F69C1"/>
    <w:rsid w:val="005F7093"/>
    <w:rsid w:val="00600749"/>
    <w:rsid w:val="00602999"/>
    <w:rsid w:val="00605AFE"/>
    <w:rsid w:val="0060611F"/>
    <w:rsid w:val="006062B8"/>
    <w:rsid w:val="0060631C"/>
    <w:rsid w:val="00606899"/>
    <w:rsid w:val="00606AF6"/>
    <w:rsid w:val="00606EE3"/>
    <w:rsid w:val="00611017"/>
    <w:rsid w:val="00611D5D"/>
    <w:rsid w:val="00617C9A"/>
    <w:rsid w:val="00620A9B"/>
    <w:rsid w:val="006228D7"/>
    <w:rsid w:val="00622ABF"/>
    <w:rsid w:val="006264C5"/>
    <w:rsid w:val="00626F64"/>
    <w:rsid w:val="006315E0"/>
    <w:rsid w:val="00632180"/>
    <w:rsid w:val="00633AAE"/>
    <w:rsid w:val="00635F94"/>
    <w:rsid w:val="00640455"/>
    <w:rsid w:val="00641BAC"/>
    <w:rsid w:val="00642597"/>
    <w:rsid w:val="0064305E"/>
    <w:rsid w:val="00646237"/>
    <w:rsid w:val="0065212D"/>
    <w:rsid w:val="006539F8"/>
    <w:rsid w:val="00653F48"/>
    <w:rsid w:val="00653F78"/>
    <w:rsid w:val="00654957"/>
    <w:rsid w:val="00654A29"/>
    <w:rsid w:val="00654C6D"/>
    <w:rsid w:val="00655C8C"/>
    <w:rsid w:val="00656677"/>
    <w:rsid w:val="00656937"/>
    <w:rsid w:val="00656D64"/>
    <w:rsid w:val="00657E08"/>
    <w:rsid w:val="00661A9C"/>
    <w:rsid w:val="00663610"/>
    <w:rsid w:val="00663CA4"/>
    <w:rsid w:val="00667A00"/>
    <w:rsid w:val="00670EF6"/>
    <w:rsid w:val="00671146"/>
    <w:rsid w:val="0067159A"/>
    <w:rsid w:val="006739F0"/>
    <w:rsid w:val="006757FA"/>
    <w:rsid w:val="00676980"/>
    <w:rsid w:val="00681F1E"/>
    <w:rsid w:val="006828BE"/>
    <w:rsid w:val="00682B56"/>
    <w:rsid w:val="00682E56"/>
    <w:rsid w:val="00683DC2"/>
    <w:rsid w:val="0068459D"/>
    <w:rsid w:val="006852B7"/>
    <w:rsid w:val="0068616F"/>
    <w:rsid w:val="00686485"/>
    <w:rsid w:val="00687B49"/>
    <w:rsid w:val="00687EAA"/>
    <w:rsid w:val="00690C87"/>
    <w:rsid w:val="006915C0"/>
    <w:rsid w:val="006917F1"/>
    <w:rsid w:val="006928D4"/>
    <w:rsid w:val="0069425B"/>
    <w:rsid w:val="00695D74"/>
    <w:rsid w:val="006A04D8"/>
    <w:rsid w:val="006A144A"/>
    <w:rsid w:val="006A43C3"/>
    <w:rsid w:val="006A4B41"/>
    <w:rsid w:val="006A56E7"/>
    <w:rsid w:val="006A592D"/>
    <w:rsid w:val="006A6DDE"/>
    <w:rsid w:val="006A76FD"/>
    <w:rsid w:val="006A7FE2"/>
    <w:rsid w:val="006B1135"/>
    <w:rsid w:val="006B35F9"/>
    <w:rsid w:val="006B3777"/>
    <w:rsid w:val="006B71BE"/>
    <w:rsid w:val="006C1144"/>
    <w:rsid w:val="006C2C65"/>
    <w:rsid w:val="006C45D5"/>
    <w:rsid w:val="006C45E9"/>
    <w:rsid w:val="006C4DF8"/>
    <w:rsid w:val="006C7C79"/>
    <w:rsid w:val="006D3A77"/>
    <w:rsid w:val="006D50EF"/>
    <w:rsid w:val="006D7779"/>
    <w:rsid w:val="006D7A40"/>
    <w:rsid w:val="006E4500"/>
    <w:rsid w:val="006E59C5"/>
    <w:rsid w:val="006E5EC1"/>
    <w:rsid w:val="006E6117"/>
    <w:rsid w:val="006F02D3"/>
    <w:rsid w:val="006F1A98"/>
    <w:rsid w:val="006F22FB"/>
    <w:rsid w:val="006F4928"/>
    <w:rsid w:val="00700E81"/>
    <w:rsid w:val="00702AFC"/>
    <w:rsid w:val="007148A3"/>
    <w:rsid w:val="00714FB5"/>
    <w:rsid w:val="0071610E"/>
    <w:rsid w:val="007235B4"/>
    <w:rsid w:val="0072767B"/>
    <w:rsid w:val="007305D7"/>
    <w:rsid w:val="00730E72"/>
    <w:rsid w:val="007325D9"/>
    <w:rsid w:val="007341FC"/>
    <w:rsid w:val="00736CD3"/>
    <w:rsid w:val="007372B8"/>
    <w:rsid w:val="0074108B"/>
    <w:rsid w:val="007419B7"/>
    <w:rsid w:val="00743C5B"/>
    <w:rsid w:val="007440B0"/>
    <w:rsid w:val="00745746"/>
    <w:rsid w:val="00745C8C"/>
    <w:rsid w:val="00747278"/>
    <w:rsid w:val="00750DFD"/>
    <w:rsid w:val="00750E35"/>
    <w:rsid w:val="0075150F"/>
    <w:rsid w:val="00752853"/>
    <w:rsid w:val="00754BC9"/>
    <w:rsid w:val="007560D3"/>
    <w:rsid w:val="0076156D"/>
    <w:rsid w:val="00761E84"/>
    <w:rsid w:val="007652A9"/>
    <w:rsid w:val="0076632C"/>
    <w:rsid w:val="00766C9C"/>
    <w:rsid w:val="00772177"/>
    <w:rsid w:val="007727AC"/>
    <w:rsid w:val="0077361F"/>
    <w:rsid w:val="0077504B"/>
    <w:rsid w:val="00777BDD"/>
    <w:rsid w:val="007806F6"/>
    <w:rsid w:val="007828BF"/>
    <w:rsid w:val="00782AB1"/>
    <w:rsid w:val="00783BAF"/>
    <w:rsid w:val="0078449F"/>
    <w:rsid w:val="007858AB"/>
    <w:rsid w:val="00786F75"/>
    <w:rsid w:val="007906EE"/>
    <w:rsid w:val="0079375C"/>
    <w:rsid w:val="0079796A"/>
    <w:rsid w:val="007A0BC7"/>
    <w:rsid w:val="007A12AD"/>
    <w:rsid w:val="007A22E8"/>
    <w:rsid w:val="007A3239"/>
    <w:rsid w:val="007A3285"/>
    <w:rsid w:val="007B0C0F"/>
    <w:rsid w:val="007B2237"/>
    <w:rsid w:val="007B494E"/>
    <w:rsid w:val="007B5823"/>
    <w:rsid w:val="007B69B5"/>
    <w:rsid w:val="007B765A"/>
    <w:rsid w:val="007C1C15"/>
    <w:rsid w:val="007C2BC9"/>
    <w:rsid w:val="007C37A1"/>
    <w:rsid w:val="007C42B3"/>
    <w:rsid w:val="007C6269"/>
    <w:rsid w:val="007D02CB"/>
    <w:rsid w:val="007D1554"/>
    <w:rsid w:val="007D1610"/>
    <w:rsid w:val="007D32CD"/>
    <w:rsid w:val="007D5480"/>
    <w:rsid w:val="007D5522"/>
    <w:rsid w:val="007D72B5"/>
    <w:rsid w:val="007E01F1"/>
    <w:rsid w:val="007E15F7"/>
    <w:rsid w:val="007E1A84"/>
    <w:rsid w:val="007E1AA6"/>
    <w:rsid w:val="007E2B8F"/>
    <w:rsid w:val="007E2F83"/>
    <w:rsid w:val="007E5054"/>
    <w:rsid w:val="007E6333"/>
    <w:rsid w:val="007E6A54"/>
    <w:rsid w:val="007E774B"/>
    <w:rsid w:val="007E7DF6"/>
    <w:rsid w:val="007F09A9"/>
    <w:rsid w:val="007F0DDD"/>
    <w:rsid w:val="007F2581"/>
    <w:rsid w:val="007F447C"/>
    <w:rsid w:val="007F45CB"/>
    <w:rsid w:val="007F5CBE"/>
    <w:rsid w:val="007F7F0B"/>
    <w:rsid w:val="008010BF"/>
    <w:rsid w:val="00802F7D"/>
    <w:rsid w:val="00804EA2"/>
    <w:rsid w:val="00805563"/>
    <w:rsid w:val="00806370"/>
    <w:rsid w:val="00811059"/>
    <w:rsid w:val="00811D99"/>
    <w:rsid w:val="00813AF3"/>
    <w:rsid w:val="008142BE"/>
    <w:rsid w:val="00814FCF"/>
    <w:rsid w:val="0081531A"/>
    <w:rsid w:val="00816BCA"/>
    <w:rsid w:val="00817275"/>
    <w:rsid w:val="0081796B"/>
    <w:rsid w:val="00820072"/>
    <w:rsid w:val="00822E43"/>
    <w:rsid w:val="00826753"/>
    <w:rsid w:val="00826DF0"/>
    <w:rsid w:val="0082708B"/>
    <w:rsid w:val="00827CCC"/>
    <w:rsid w:val="00827DE8"/>
    <w:rsid w:val="00831252"/>
    <w:rsid w:val="00832827"/>
    <w:rsid w:val="00835856"/>
    <w:rsid w:val="00836FBB"/>
    <w:rsid w:val="00842252"/>
    <w:rsid w:val="00843805"/>
    <w:rsid w:val="008515CA"/>
    <w:rsid w:val="00852D2E"/>
    <w:rsid w:val="00853BF2"/>
    <w:rsid w:val="008553F3"/>
    <w:rsid w:val="00861699"/>
    <w:rsid w:val="00861818"/>
    <w:rsid w:val="00871198"/>
    <w:rsid w:val="00873C1E"/>
    <w:rsid w:val="008742AA"/>
    <w:rsid w:val="008772D6"/>
    <w:rsid w:val="0087749E"/>
    <w:rsid w:val="0088001A"/>
    <w:rsid w:val="00890D74"/>
    <w:rsid w:val="00892BA3"/>
    <w:rsid w:val="0089305F"/>
    <w:rsid w:val="0089389F"/>
    <w:rsid w:val="00893EE1"/>
    <w:rsid w:val="00895517"/>
    <w:rsid w:val="008960A0"/>
    <w:rsid w:val="008965E3"/>
    <w:rsid w:val="008A1198"/>
    <w:rsid w:val="008A186B"/>
    <w:rsid w:val="008A2F5D"/>
    <w:rsid w:val="008A5EF2"/>
    <w:rsid w:val="008A715D"/>
    <w:rsid w:val="008A72DC"/>
    <w:rsid w:val="008A7B29"/>
    <w:rsid w:val="008A7C47"/>
    <w:rsid w:val="008B0539"/>
    <w:rsid w:val="008B06E1"/>
    <w:rsid w:val="008B555B"/>
    <w:rsid w:val="008B5DB4"/>
    <w:rsid w:val="008B737A"/>
    <w:rsid w:val="008B7C91"/>
    <w:rsid w:val="008C28DF"/>
    <w:rsid w:val="008C2C9D"/>
    <w:rsid w:val="008C4AE7"/>
    <w:rsid w:val="008C5819"/>
    <w:rsid w:val="008D054B"/>
    <w:rsid w:val="008D0D8A"/>
    <w:rsid w:val="008D101E"/>
    <w:rsid w:val="008D2D43"/>
    <w:rsid w:val="008D31B2"/>
    <w:rsid w:val="008E437C"/>
    <w:rsid w:val="008E585E"/>
    <w:rsid w:val="008E794C"/>
    <w:rsid w:val="008F2C97"/>
    <w:rsid w:val="008F3369"/>
    <w:rsid w:val="008F399D"/>
    <w:rsid w:val="008F4196"/>
    <w:rsid w:val="008F4707"/>
    <w:rsid w:val="00906944"/>
    <w:rsid w:val="00907CAC"/>
    <w:rsid w:val="00907CC7"/>
    <w:rsid w:val="0091418F"/>
    <w:rsid w:val="00914BE9"/>
    <w:rsid w:val="00915398"/>
    <w:rsid w:val="00916581"/>
    <w:rsid w:val="00916BE4"/>
    <w:rsid w:val="009172C2"/>
    <w:rsid w:val="009230AB"/>
    <w:rsid w:val="0092430C"/>
    <w:rsid w:val="00924EC6"/>
    <w:rsid w:val="009254B4"/>
    <w:rsid w:val="0092678C"/>
    <w:rsid w:val="00926AD4"/>
    <w:rsid w:val="00927BD1"/>
    <w:rsid w:val="0093128B"/>
    <w:rsid w:val="00932907"/>
    <w:rsid w:val="00934195"/>
    <w:rsid w:val="00936D64"/>
    <w:rsid w:val="00941ADA"/>
    <w:rsid w:val="009446E5"/>
    <w:rsid w:val="00944F6C"/>
    <w:rsid w:val="009507A1"/>
    <w:rsid w:val="00952144"/>
    <w:rsid w:val="00953EF0"/>
    <w:rsid w:val="00964628"/>
    <w:rsid w:val="00966797"/>
    <w:rsid w:val="00971E16"/>
    <w:rsid w:val="00972A5D"/>
    <w:rsid w:val="0097508D"/>
    <w:rsid w:val="00975609"/>
    <w:rsid w:val="00975C0E"/>
    <w:rsid w:val="0098020D"/>
    <w:rsid w:val="00980DD2"/>
    <w:rsid w:val="00981544"/>
    <w:rsid w:val="00981B65"/>
    <w:rsid w:val="00981C77"/>
    <w:rsid w:val="00982C88"/>
    <w:rsid w:val="00983318"/>
    <w:rsid w:val="0098556D"/>
    <w:rsid w:val="00985773"/>
    <w:rsid w:val="0098629C"/>
    <w:rsid w:val="00986601"/>
    <w:rsid w:val="00986D37"/>
    <w:rsid w:val="00993BA4"/>
    <w:rsid w:val="0099613C"/>
    <w:rsid w:val="0099623D"/>
    <w:rsid w:val="009A068B"/>
    <w:rsid w:val="009A1CD5"/>
    <w:rsid w:val="009A1EC1"/>
    <w:rsid w:val="009A412C"/>
    <w:rsid w:val="009A426D"/>
    <w:rsid w:val="009A76ED"/>
    <w:rsid w:val="009B1C4A"/>
    <w:rsid w:val="009B2295"/>
    <w:rsid w:val="009B28EB"/>
    <w:rsid w:val="009B533F"/>
    <w:rsid w:val="009B5D12"/>
    <w:rsid w:val="009B60DD"/>
    <w:rsid w:val="009B7008"/>
    <w:rsid w:val="009B7065"/>
    <w:rsid w:val="009C4591"/>
    <w:rsid w:val="009C4611"/>
    <w:rsid w:val="009C49D6"/>
    <w:rsid w:val="009C4D50"/>
    <w:rsid w:val="009C65A6"/>
    <w:rsid w:val="009D156D"/>
    <w:rsid w:val="009D2137"/>
    <w:rsid w:val="009D3334"/>
    <w:rsid w:val="009D677A"/>
    <w:rsid w:val="009E370F"/>
    <w:rsid w:val="009E6231"/>
    <w:rsid w:val="009E6779"/>
    <w:rsid w:val="009E7784"/>
    <w:rsid w:val="009E7CF6"/>
    <w:rsid w:val="009F21A5"/>
    <w:rsid w:val="009F72FE"/>
    <w:rsid w:val="009F738A"/>
    <w:rsid w:val="00A01652"/>
    <w:rsid w:val="00A01706"/>
    <w:rsid w:val="00A01984"/>
    <w:rsid w:val="00A01D4A"/>
    <w:rsid w:val="00A01F89"/>
    <w:rsid w:val="00A02E3B"/>
    <w:rsid w:val="00A04186"/>
    <w:rsid w:val="00A047BF"/>
    <w:rsid w:val="00A0648F"/>
    <w:rsid w:val="00A105DB"/>
    <w:rsid w:val="00A10A31"/>
    <w:rsid w:val="00A10F6C"/>
    <w:rsid w:val="00A1104B"/>
    <w:rsid w:val="00A128EA"/>
    <w:rsid w:val="00A12935"/>
    <w:rsid w:val="00A13578"/>
    <w:rsid w:val="00A13E6C"/>
    <w:rsid w:val="00A14631"/>
    <w:rsid w:val="00A14DA2"/>
    <w:rsid w:val="00A14F81"/>
    <w:rsid w:val="00A16244"/>
    <w:rsid w:val="00A16B2A"/>
    <w:rsid w:val="00A16C85"/>
    <w:rsid w:val="00A20091"/>
    <w:rsid w:val="00A2017D"/>
    <w:rsid w:val="00A20D2B"/>
    <w:rsid w:val="00A23168"/>
    <w:rsid w:val="00A243AF"/>
    <w:rsid w:val="00A25BC8"/>
    <w:rsid w:val="00A27441"/>
    <w:rsid w:val="00A275D0"/>
    <w:rsid w:val="00A312C0"/>
    <w:rsid w:val="00A324C6"/>
    <w:rsid w:val="00A32F94"/>
    <w:rsid w:val="00A34E61"/>
    <w:rsid w:val="00A36FE1"/>
    <w:rsid w:val="00A40BEB"/>
    <w:rsid w:val="00A43381"/>
    <w:rsid w:val="00A44301"/>
    <w:rsid w:val="00A448FA"/>
    <w:rsid w:val="00A44912"/>
    <w:rsid w:val="00A44ACE"/>
    <w:rsid w:val="00A46A8E"/>
    <w:rsid w:val="00A4759E"/>
    <w:rsid w:val="00A50B72"/>
    <w:rsid w:val="00A50BAE"/>
    <w:rsid w:val="00A53C06"/>
    <w:rsid w:val="00A540F8"/>
    <w:rsid w:val="00A54765"/>
    <w:rsid w:val="00A56456"/>
    <w:rsid w:val="00A56C4A"/>
    <w:rsid w:val="00A56F3E"/>
    <w:rsid w:val="00A575B8"/>
    <w:rsid w:val="00A57A4B"/>
    <w:rsid w:val="00A60A94"/>
    <w:rsid w:val="00A60F8B"/>
    <w:rsid w:val="00A655DB"/>
    <w:rsid w:val="00A6741E"/>
    <w:rsid w:val="00A727F6"/>
    <w:rsid w:val="00A7289C"/>
    <w:rsid w:val="00A73F36"/>
    <w:rsid w:val="00A747C9"/>
    <w:rsid w:val="00A74C7C"/>
    <w:rsid w:val="00A7512E"/>
    <w:rsid w:val="00A76A7D"/>
    <w:rsid w:val="00A77C10"/>
    <w:rsid w:val="00A82024"/>
    <w:rsid w:val="00A82256"/>
    <w:rsid w:val="00A825F8"/>
    <w:rsid w:val="00A82CA5"/>
    <w:rsid w:val="00A842C7"/>
    <w:rsid w:val="00A84E15"/>
    <w:rsid w:val="00A853DE"/>
    <w:rsid w:val="00A85B51"/>
    <w:rsid w:val="00A9261D"/>
    <w:rsid w:val="00A932BE"/>
    <w:rsid w:val="00A94984"/>
    <w:rsid w:val="00A95D54"/>
    <w:rsid w:val="00A96817"/>
    <w:rsid w:val="00A9726E"/>
    <w:rsid w:val="00A97BE7"/>
    <w:rsid w:val="00AA1641"/>
    <w:rsid w:val="00AA67AF"/>
    <w:rsid w:val="00AB0B0A"/>
    <w:rsid w:val="00AB1031"/>
    <w:rsid w:val="00AB1084"/>
    <w:rsid w:val="00AB1159"/>
    <w:rsid w:val="00AB1AC9"/>
    <w:rsid w:val="00AB7FA4"/>
    <w:rsid w:val="00AC0171"/>
    <w:rsid w:val="00AC1FDF"/>
    <w:rsid w:val="00AC40B0"/>
    <w:rsid w:val="00AC5D01"/>
    <w:rsid w:val="00AC6C9E"/>
    <w:rsid w:val="00AD0179"/>
    <w:rsid w:val="00AD3480"/>
    <w:rsid w:val="00AD3861"/>
    <w:rsid w:val="00AD3CBD"/>
    <w:rsid w:val="00AD3FB9"/>
    <w:rsid w:val="00AD41C9"/>
    <w:rsid w:val="00AD468A"/>
    <w:rsid w:val="00AE2EB4"/>
    <w:rsid w:val="00AE3F63"/>
    <w:rsid w:val="00AE455C"/>
    <w:rsid w:val="00AE6F38"/>
    <w:rsid w:val="00AF2A42"/>
    <w:rsid w:val="00AF5B71"/>
    <w:rsid w:val="00B03588"/>
    <w:rsid w:val="00B04FEF"/>
    <w:rsid w:val="00B0621C"/>
    <w:rsid w:val="00B068E7"/>
    <w:rsid w:val="00B07BCA"/>
    <w:rsid w:val="00B07E4C"/>
    <w:rsid w:val="00B10394"/>
    <w:rsid w:val="00B10E6C"/>
    <w:rsid w:val="00B119F9"/>
    <w:rsid w:val="00B1412A"/>
    <w:rsid w:val="00B15254"/>
    <w:rsid w:val="00B15772"/>
    <w:rsid w:val="00B22352"/>
    <w:rsid w:val="00B26696"/>
    <w:rsid w:val="00B272BA"/>
    <w:rsid w:val="00B3259D"/>
    <w:rsid w:val="00B3347B"/>
    <w:rsid w:val="00B33BE8"/>
    <w:rsid w:val="00B40A63"/>
    <w:rsid w:val="00B41247"/>
    <w:rsid w:val="00B41A46"/>
    <w:rsid w:val="00B470B1"/>
    <w:rsid w:val="00B47536"/>
    <w:rsid w:val="00B4793A"/>
    <w:rsid w:val="00B51EB4"/>
    <w:rsid w:val="00B5358F"/>
    <w:rsid w:val="00B54C36"/>
    <w:rsid w:val="00B54DD2"/>
    <w:rsid w:val="00B56FB4"/>
    <w:rsid w:val="00B61582"/>
    <w:rsid w:val="00B62E55"/>
    <w:rsid w:val="00B631E3"/>
    <w:rsid w:val="00B6401E"/>
    <w:rsid w:val="00B66BEF"/>
    <w:rsid w:val="00B6732B"/>
    <w:rsid w:val="00B705D9"/>
    <w:rsid w:val="00B7072A"/>
    <w:rsid w:val="00B70FD8"/>
    <w:rsid w:val="00B71198"/>
    <w:rsid w:val="00B74455"/>
    <w:rsid w:val="00B76DDA"/>
    <w:rsid w:val="00B80EC2"/>
    <w:rsid w:val="00B812EB"/>
    <w:rsid w:val="00B83BF4"/>
    <w:rsid w:val="00B8431C"/>
    <w:rsid w:val="00B86AFE"/>
    <w:rsid w:val="00B912D6"/>
    <w:rsid w:val="00B92F80"/>
    <w:rsid w:val="00B9345B"/>
    <w:rsid w:val="00B93802"/>
    <w:rsid w:val="00B94953"/>
    <w:rsid w:val="00B968DE"/>
    <w:rsid w:val="00B97B11"/>
    <w:rsid w:val="00BA08F2"/>
    <w:rsid w:val="00BA12DA"/>
    <w:rsid w:val="00BA2505"/>
    <w:rsid w:val="00BA3681"/>
    <w:rsid w:val="00BA3801"/>
    <w:rsid w:val="00BA3870"/>
    <w:rsid w:val="00BA3D63"/>
    <w:rsid w:val="00BA4049"/>
    <w:rsid w:val="00BA676C"/>
    <w:rsid w:val="00BA705A"/>
    <w:rsid w:val="00BB0720"/>
    <w:rsid w:val="00BB098C"/>
    <w:rsid w:val="00BB137C"/>
    <w:rsid w:val="00BB15E3"/>
    <w:rsid w:val="00BB1BA0"/>
    <w:rsid w:val="00BB3215"/>
    <w:rsid w:val="00BB357D"/>
    <w:rsid w:val="00BB4552"/>
    <w:rsid w:val="00BB4D1E"/>
    <w:rsid w:val="00BB51CF"/>
    <w:rsid w:val="00BB5F25"/>
    <w:rsid w:val="00BB75D0"/>
    <w:rsid w:val="00BB7EAB"/>
    <w:rsid w:val="00BC1612"/>
    <w:rsid w:val="00BC28E8"/>
    <w:rsid w:val="00BC2C33"/>
    <w:rsid w:val="00BC3AB8"/>
    <w:rsid w:val="00BC6B36"/>
    <w:rsid w:val="00BC6F6A"/>
    <w:rsid w:val="00BD1568"/>
    <w:rsid w:val="00BD22E3"/>
    <w:rsid w:val="00BD57C9"/>
    <w:rsid w:val="00BD7DE7"/>
    <w:rsid w:val="00BE0D2C"/>
    <w:rsid w:val="00BE23D6"/>
    <w:rsid w:val="00BE361F"/>
    <w:rsid w:val="00BE3D5A"/>
    <w:rsid w:val="00BE4AA8"/>
    <w:rsid w:val="00BE6656"/>
    <w:rsid w:val="00BF1FA0"/>
    <w:rsid w:val="00BF2734"/>
    <w:rsid w:val="00BF6FD0"/>
    <w:rsid w:val="00BF7266"/>
    <w:rsid w:val="00BF764B"/>
    <w:rsid w:val="00C0095B"/>
    <w:rsid w:val="00C015C5"/>
    <w:rsid w:val="00C02255"/>
    <w:rsid w:val="00C026E9"/>
    <w:rsid w:val="00C041F9"/>
    <w:rsid w:val="00C05A51"/>
    <w:rsid w:val="00C05FBA"/>
    <w:rsid w:val="00C074F1"/>
    <w:rsid w:val="00C1178D"/>
    <w:rsid w:val="00C11D5F"/>
    <w:rsid w:val="00C122D5"/>
    <w:rsid w:val="00C128B6"/>
    <w:rsid w:val="00C1433D"/>
    <w:rsid w:val="00C1496A"/>
    <w:rsid w:val="00C154CF"/>
    <w:rsid w:val="00C166E7"/>
    <w:rsid w:val="00C176EA"/>
    <w:rsid w:val="00C21DAF"/>
    <w:rsid w:val="00C2322A"/>
    <w:rsid w:val="00C247EF"/>
    <w:rsid w:val="00C252D9"/>
    <w:rsid w:val="00C26C49"/>
    <w:rsid w:val="00C27710"/>
    <w:rsid w:val="00C306E5"/>
    <w:rsid w:val="00C347AA"/>
    <w:rsid w:val="00C349BB"/>
    <w:rsid w:val="00C34CA5"/>
    <w:rsid w:val="00C35C3C"/>
    <w:rsid w:val="00C37C70"/>
    <w:rsid w:val="00C4071C"/>
    <w:rsid w:val="00C4616A"/>
    <w:rsid w:val="00C46919"/>
    <w:rsid w:val="00C473CF"/>
    <w:rsid w:val="00C50C65"/>
    <w:rsid w:val="00C543CD"/>
    <w:rsid w:val="00C5515E"/>
    <w:rsid w:val="00C55E61"/>
    <w:rsid w:val="00C60C16"/>
    <w:rsid w:val="00C60D90"/>
    <w:rsid w:val="00C62EE7"/>
    <w:rsid w:val="00C6311F"/>
    <w:rsid w:val="00C633D2"/>
    <w:rsid w:val="00C642FA"/>
    <w:rsid w:val="00C651CC"/>
    <w:rsid w:val="00C72670"/>
    <w:rsid w:val="00C7568A"/>
    <w:rsid w:val="00C75713"/>
    <w:rsid w:val="00C80542"/>
    <w:rsid w:val="00C80F6E"/>
    <w:rsid w:val="00C84173"/>
    <w:rsid w:val="00C8482F"/>
    <w:rsid w:val="00C86E04"/>
    <w:rsid w:val="00C921B6"/>
    <w:rsid w:val="00C928F9"/>
    <w:rsid w:val="00CA317C"/>
    <w:rsid w:val="00CA3C95"/>
    <w:rsid w:val="00CA5C4A"/>
    <w:rsid w:val="00CA5E4C"/>
    <w:rsid w:val="00CB297D"/>
    <w:rsid w:val="00CB5993"/>
    <w:rsid w:val="00CB5B3A"/>
    <w:rsid w:val="00CB7A18"/>
    <w:rsid w:val="00CC0B91"/>
    <w:rsid w:val="00CC23E7"/>
    <w:rsid w:val="00CC3029"/>
    <w:rsid w:val="00CC308B"/>
    <w:rsid w:val="00CC6AAC"/>
    <w:rsid w:val="00CC70AE"/>
    <w:rsid w:val="00CC78A8"/>
    <w:rsid w:val="00CC795B"/>
    <w:rsid w:val="00CD0B54"/>
    <w:rsid w:val="00CD2183"/>
    <w:rsid w:val="00CD2BB1"/>
    <w:rsid w:val="00CD3397"/>
    <w:rsid w:val="00CD5123"/>
    <w:rsid w:val="00CD5EB9"/>
    <w:rsid w:val="00CE12AF"/>
    <w:rsid w:val="00CE147E"/>
    <w:rsid w:val="00CE16FA"/>
    <w:rsid w:val="00CE277C"/>
    <w:rsid w:val="00CE289D"/>
    <w:rsid w:val="00CE52FD"/>
    <w:rsid w:val="00CE674C"/>
    <w:rsid w:val="00CE6C56"/>
    <w:rsid w:val="00CF201D"/>
    <w:rsid w:val="00CF5997"/>
    <w:rsid w:val="00CF7D37"/>
    <w:rsid w:val="00D00CA4"/>
    <w:rsid w:val="00D0139E"/>
    <w:rsid w:val="00D0387D"/>
    <w:rsid w:val="00D038C8"/>
    <w:rsid w:val="00D06321"/>
    <w:rsid w:val="00D0652C"/>
    <w:rsid w:val="00D1115A"/>
    <w:rsid w:val="00D11A0F"/>
    <w:rsid w:val="00D138F3"/>
    <w:rsid w:val="00D14602"/>
    <w:rsid w:val="00D1731E"/>
    <w:rsid w:val="00D20C39"/>
    <w:rsid w:val="00D20DC7"/>
    <w:rsid w:val="00D20F87"/>
    <w:rsid w:val="00D2337C"/>
    <w:rsid w:val="00D249B4"/>
    <w:rsid w:val="00D253BF"/>
    <w:rsid w:val="00D27D68"/>
    <w:rsid w:val="00D30169"/>
    <w:rsid w:val="00D3065B"/>
    <w:rsid w:val="00D345CA"/>
    <w:rsid w:val="00D34E6F"/>
    <w:rsid w:val="00D35C18"/>
    <w:rsid w:val="00D35D81"/>
    <w:rsid w:val="00D36ADF"/>
    <w:rsid w:val="00D40584"/>
    <w:rsid w:val="00D41667"/>
    <w:rsid w:val="00D41AA0"/>
    <w:rsid w:val="00D426DD"/>
    <w:rsid w:val="00D43A25"/>
    <w:rsid w:val="00D45656"/>
    <w:rsid w:val="00D5031D"/>
    <w:rsid w:val="00D513B7"/>
    <w:rsid w:val="00D5471B"/>
    <w:rsid w:val="00D6166B"/>
    <w:rsid w:val="00D62741"/>
    <w:rsid w:val="00D63509"/>
    <w:rsid w:val="00D645DD"/>
    <w:rsid w:val="00D64E81"/>
    <w:rsid w:val="00D7076D"/>
    <w:rsid w:val="00D725FA"/>
    <w:rsid w:val="00D73F77"/>
    <w:rsid w:val="00D7422F"/>
    <w:rsid w:val="00D76363"/>
    <w:rsid w:val="00D77BED"/>
    <w:rsid w:val="00D80D72"/>
    <w:rsid w:val="00D82F97"/>
    <w:rsid w:val="00D8356B"/>
    <w:rsid w:val="00D8424A"/>
    <w:rsid w:val="00D845E9"/>
    <w:rsid w:val="00D853F1"/>
    <w:rsid w:val="00D90255"/>
    <w:rsid w:val="00D90393"/>
    <w:rsid w:val="00D903CF"/>
    <w:rsid w:val="00D91293"/>
    <w:rsid w:val="00D93F21"/>
    <w:rsid w:val="00D95659"/>
    <w:rsid w:val="00D97A86"/>
    <w:rsid w:val="00DA0144"/>
    <w:rsid w:val="00DA1B03"/>
    <w:rsid w:val="00DA36F8"/>
    <w:rsid w:val="00DA79F9"/>
    <w:rsid w:val="00DB0A97"/>
    <w:rsid w:val="00DB28FC"/>
    <w:rsid w:val="00DB510D"/>
    <w:rsid w:val="00DB73DE"/>
    <w:rsid w:val="00DC0AAF"/>
    <w:rsid w:val="00DC0DBC"/>
    <w:rsid w:val="00DC33C4"/>
    <w:rsid w:val="00DC3E66"/>
    <w:rsid w:val="00DC6A18"/>
    <w:rsid w:val="00DC7DBF"/>
    <w:rsid w:val="00DD146D"/>
    <w:rsid w:val="00DD42B3"/>
    <w:rsid w:val="00DD5AF2"/>
    <w:rsid w:val="00DE0848"/>
    <w:rsid w:val="00DE0DE7"/>
    <w:rsid w:val="00DE1429"/>
    <w:rsid w:val="00DE1AF9"/>
    <w:rsid w:val="00DE21E2"/>
    <w:rsid w:val="00DE2EC1"/>
    <w:rsid w:val="00DE4ADB"/>
    <w:rsid w:val="00DE5FEE"/>
    <w:rsid w:val="00DE6B8A"/>
    <w:rsid w:val="00DF024C"/>
    <w:rsid w:val="00DF067A"/>
    <w:rsid w:val="00DF0D1B"/>
    <w:rsid w:val="00DF2810"/>
    <w:rsid w:val="00DF3719"/>
    <w:rsid w:val="00DF4162"/>
    <w:rsid w:val="00DF4200"/>
    <w:rsid w:val="00E01CEB"/>
    <w:rsid w:val="00E060CD"/>
    <w:rsid w:val="00E062CC"/>
    <w:rsid w:val="00E07D9F"/>
    <w:rsid w:val="00E10B2D"/>
    <w:rsid w:val="00E10C25"/>
    <w:rsid w:val="00E111C6"/>
    <w:rsid w:val="00E12A9C"/>
    <w:rsid w:val="00E1372D"/>
    <w:rsid w:val="00E13942"/>
    <w:rsid w:val="00E159C7"/>
    <w:rsid w:val="00E1676E"/>
    <w:rsid w:val="00E16FBC"/>
    <w:rsid w:val="00E171A7"/>
    <w:rsid w:val="00E207E8"/>
    <w:rsid w:val="00E20B87"/>
    <w:rsid w:val="00E2195A"/>
    <w:rsid w:val="00E21FCB"/>
    <w:rsid w:val="00E25C23"/>
    <w:rsid w:val="00E261A9"/>
    <w:rsid w:val="00E26D5F"/>
    <w:rsid w:val="00E31AE8"/>
    <w:rsid w:val="00E332D2"/>
    <w:rsid w:val="00E362E5"/>
    <w:rsid w:val="00E400E6"/>
    <w:rsid w:val="00E40219"/>
    <w:rsid w:val="00E417CB"/>
    <w:rsid w:val="00E42AF1"/>
    <w:rsid w:val="00E4407F"/>
    <w:rsid w:val="00E4514A"/>
    <w:rsid w:val="00E45C55"/>
    <w:rsid w:val="00E47067"/>
    <w:rsid w:val="00E47EA6"/>
    <w:rsid w:val="00E532BF"/>
    <w:rsid w:val="00E53DB8"/>
    <w:rsid w:val="00E57D44"/>
    <w:rsid w:val="00E60AD6"/>
    <w:rsid w:val="00E6104C"/>
    <w:rsid w:val="00E61596"/>
    <w:rsid w:val="00E676DB"/>
    <w:rsid w:val="00E678E7"/>
    <w:rsid w:val="00E70505"/>
    <w:rsid w:val="00E71651"/>
    <w:rsid w:val="00E74B62"/>
    <w:rsid w:val="00E750A9"/>
    <w:rsid w:val="00E7691B"/>
    <w:rsid w:val="00E771C8"/>
    <w:rsid w:val="00E77580"/>
    <w:rsid w:val="00E81506"/>
    <w:rsid w:val="00E82097"/>
    <w:rsid w:val="00E820E2"/>
    <w:rsid w:val="00E831DB"/>
    <w:rsid w:val="00E84D49"/>
    <w:rsid w:val="00E8701E"/>
    <w:rsid w:val="00E870B9"/>
    <w:rsid w:val="00E87BE9"/>
    <w:rsid w:val="00E90387"/>
    <w:rsid w:val="00E907DF"/>
    <w:rsid w:val="00E937B2"/>
    <w:rsid w:val="00E9394D"/>
    <w:rsid w:val="00E94B32"/>
    <w:rsid w:val="00E9546B"/>
    <w:rsid w:val="00E95F7D"/>
    <w:rsid w:val="00EA28CC"/>
    <w:rsid w:val="00EA440D"/>
    <w:rsid w:val="00EA483F"/>
    <w:rsid w:val="00EA4DEA"/>
    <w:rsid w:val="00EA5B7B"/>
    <w:rsid w:val="00EA64DD"/>
    <w:rsid w:val="00EB10B6"/>
    <w:rsid w:val="00EB469C"/>
    <w:rsid w:val="00EB69EF"/>
    <w:rsid w:val="00EC34A9"/>
    <w:rsid w:val="00EC4AD8"/>
    <w:rsid w:val="00EC57F8"/>
    <w:rsid w:val="00EC756E"/>
    <w:rsid w:val="00ED0068"/>
    <w:rsid w:val="00ED0A78"/>
    <w:rsid w:val="00ED2491"/>
    <w:rsid w:val="00ED286E"/>
    <w:rsid w:val="00EE0F28"/>
    <w:rsid w:val="00EE2BEE"/>
    <w:rsid w:val="00EE47A1"/>
    <w:rsid w:val="00EE49C7"/>
    <w:rsid w:val="00EE648F"/>
    <w:rsid w:val="00EE6D36"/>
    <w:rsid w:val="00EE6EF9"/>
    <w:rsid w:val="00EF30DD"/>
    <w:rsid w:val="00EF3503"/>
    <w:rsid w:val="00EF4491"/>
    <w:rsid w:val="00EF523F"/>
    <w:rsid w:val="00EF67D1"/>
    <w:rsid w:val="00EF6985"/>
    <w:rsid w:val="00F00A8D"/>
    <w:rsid w:val="00F00DD6"/>
    <w:rsid w:val="00F0156D"/>
    <w:rsid w:val="00F01868"/>
    <w:rsid w:val="00F02B1E"/>
    <w:rsid w:val="00F04004"/>
    <w:rsid w:val="00F06EF7"/>
    <w:rsid w:val="00F114B1"/>
    <w:rsid w:val="00F11E72"/>
    <w:rsid w:val="00F1467F"/>
    <w:rsid w:val="00F160DC"/>
    <w:rsid w:val="00F17057"/>
    <w:rsid w:val="00F219D6"/>
    <w:rsid w:val="00F2306F"/>
    <w:rsid w:val="00F2340F"/>
    <w:rsid w:val="00F234F3"/>
    <w:rsid w:val="00F32736"/>
    <w:rsid w:val="00F34F06"/>
    <w:rsid w:val="00F36292"/>
    <w:rsid w:val="00F37337"/>
    <w:rsid w:val="00F41402"/>
    <w:rsid w:val="00F44055"/>
    <w:rsid w:val="00F4446C"/>
    <w:rsid w:val="00F451F1"/>
    <w:rsid w:val="00F455BB"/>
    <w:rsid w:val="00F56930"/>
    <w:rsid w:val="00F604E2"/>
    <w:rsid w:val="00F617F2"/>
    <w:rsid w:val="00F64BC6"/>
    <w:rsid w:val="00F71088"/>
    <w:rsid w:val="00F71DAB"/>
    <w:rsid w:val="00F75AD4"/>
    <w:rsid w:val="00F770DF"/>
    <w:rsid w:val="00F7752E"/>
    <w:rsid w:val="00F8216A"/>
    <w:rsid w:val="00F832EB"/>
    <w:rsid w:val="00F841E3"/>
    <w:rsid w:val="00F84695"/>
    <w:rsid w:val="00F9401D"/>
    <w:rsid w:val="00F947EF"/>
    <w:rsid w:val="00F94E52"/>
    <w:rsid w:val="00F96370"/>
    <w:rsid w:val="00F96E70"/>
    <w:rsid w:val="00FA1D33"/>
    <w:rsid w:val="00FA1E59"/>
    <w:rsid w:val="00FA2F73"/>
    <w:rsid w:val="00FA3278"/>
    <w:rsid w:val="00FA3566"/>
    <w:rsid w:val="00FA4F40"/>
    <w:rsid w:val="00FA5CEA"/>
    <w:rsid w:val="00FA5D0B"/>
    <w:rsid w:val="00FB1FB6"/>
    <w:rsid w:val="00FB3B6E"/>
    <w:rsid w:val="00FB515A"/>
    <w:rsid w:val="00FB587B"/>
    <w:rsid w:val="00FB5D65"/>
    <w:rsid w:val="00FB6501"/>
    <w:rsid w:val="00FB7485"/>
    <w:rsid w:val="00FC1BED"/>
    <w:rsid w:val="00FC31DA"/>
    <w:rsid w:val="00FC3F4F"/>
    <w:rsid w:val="00FC4340"/>
    <w:rsid w:val="00FC5871"/>
    <w:rsid w:val="00FC743C"/>
    <w:rsid w:val="00FC7B44"/>
    <w:rsid w:val="00FD601F"/>
    <w:rsid w:val="00FD6812"/>
    <w:rsid w:val="00FD70CB"/>
    <w:rsid w:val="00FD7124"/>
    <w:rsid w:val="00FD7AAF"/>
    <w:rsid w:val="00FE197D"/>
    <w:rsid w:val="00FE270C"/>
    <w:rsid w:val="00FE3C2C"/>
    <w:rsid w:val="00FE42FC"/>
    <w:rsid w:val="00FE4C40"/>
    <w:rsid w:val="00FE7B6A"/>
    <w:rsid w:val="00FF1094"/>
    <w:rsid w:val="00FF20CA"/>
    <w:rsid w:val="00FF254E"/>
    <w:rsid w:val="00FF4A2C"/>
    <w:rsid w:val="00FF77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EE7006"/>
  <w15:docId w15:val="{ABF2EBBC-F57B-461F-B6D3-194BD86D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E8"/>
    <w:pPr>
      <w:spacing w:line="280" w:lineRule="atLeast"/>
    </w:pPr>
    <w:rPr>
      <w:rFonts w:ascii="Lucida Sans" w:hAnsi="Lucida Sans"/>
      <w:sz w:val="18"/>
      <w:szCs w:val="24"/>
      <w:lang w:val="en-GB" w:eastAsia="en-GB"/>
    </w:rPr>
  </w:style>
  <w:style w:type="paragraph" w:styleId="Heading1">
    <w:name w:val="heading 1"/>
    <w:basedOn w:val="Normal"/>
    <w:next w:val="Normal"/>
    <w:qFormat/>
    <w:rsid w:val="00537506"/>
    <w:pPr>
      <w:keepNext/>
      <w:spacing w:before="480" w:after="140"/>
      <w:outlineLvl w:val="0"/>
    </w:pPr>
    <w:rPr>
      <w:rFonts w:cs="Arial"/>
      <w:b/>
      <w:bCs/>
      <w:kern w:val="32"/>
      <w:sz w:val="36"/>
      <w:szCs w:val="32"/>
      <w:lang w:eastAsia="en-NZ"/>
    </w:rPr>
  </w:style>
  <w:style w:type="paragraph" w:styleId="Heading2">
    <w:name w:val="heading 2"/>
    <w:basedOn w:val="Normal"/>
    <w:next w:val="Normal"/>
    <w:qFormat/>
    <w:rsid w:val="00537506"/>
    <w:pPr>
      <w:keepNext/>
      <w:spacing w:before="140" w:after="140"/>
      <w:outlineLvl w:val="1"/>
    </w:pPr>
    <w:rPr>
      <w:rFonts w:cs="Arial"/>
      <w:b/>
      <w:bCs/>
      <w:iCs/>
      <w:sz w:val="28"/>
      <w:szCs w:val="28"/>
      <w:lang w:eastAsia="en-NZ"/>
    </w:rPr>
  </w:style>
  <w:style w:type="paragraph" w:styleId="Heading3">
    <w:name w:val="heading 3"/>
    <w:basedOn w:val="Normal"/>
    <w:next w:val="Normal"/>
    <w:qFormat/>
    <w:rsid w:val="00537506"/>
    <w:pPr>
      <w:keepNext/>
      <w:spacing w:before="140"/>
      <w:outlineLvl w:val="2"/>
    </w:pPr>
    <w:rPr>
      <w:rFonts w:cs="Arial"/>
      <w:b/>
      <w:bCs/>
      <w:szCs w:val="18"/>
      <w:lang w:eastAsia="en-NZ"/>
    </w:rPr>
  </w:style>
  <w:style w:type="paragraph" w:styleId="Heading4">
    <w:name w:val="heading 4"/>
    <w:basedOn w:val="Normal"/>
    <w:next w:val="Normal"/>
    <w:qFormat/>
    <w:locked/>
    <w:rsid w:val="00537506"/>
    <w:pPr>
      <w:tabs>
        <w:tab w:val="left" w:pos="3402"/>
      </w:tabs>
      <w:spacing w:before="140" w:after="140"/>
      <w:outlineLvl w:val="3"/>
    </w:pPr>
    <w:rPr>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basedOn w:val="Normal"/>
    <w:semiHidden/>
    <w:locked/>
    <w:rsid w:val="007A3285"/>
    <w:pPr>
      <w:spacing w:after="600"/>
    </w:pPr>
  </w:style>
  <w:style w:type="paragraph" w:customStyle="1" w:styleId="Contactinfo">
    <w:name w:val="Contact info"/>
    <w:basedOn w:val="Normal"/>
    <w:semiHidden/>
    <w:locked/>
    <w:rsid w:val="007A3285"/>
    <w:pPr>
      <w:spacing w:line="300" w:lineRule="exact"/>
      <w:ind w:left="7428"/>
    </w:pPr>
    <w:rPr>
      <w:sz w:val="20"/>
    </w:rPr>
  </w:style>
  <w:style w:type="paragraph" w:styleId="Header">
    <w:name w:val="header"/>
    <w:basedOn w:val="Normal"/>
    <w:semiHidden/>
    <w:locked/>
    <w:rsid w:val="0098629C"/>
    <w:pPr>
      <w:tabs>
        <w:tab w:val="center" w:pos="4320"/>
        <w:tab w:val="right" w:pos="8640"/>
      </w:tabs>
    </w:pPr>
  </w:style>
  <w:style w:type="paragraph" w:styleId="Footer">
    <w:name w:val="footer"/>
    <w:basedOn w:val="Normal"/>
    <w:semiHidden/>
    <w:locked/>
    <w:rsid w:val="0098629C"/>
    <w:pPr>
      <w:tabs>
        <w:tab w:val="center" w:pos="4320"/>
        <w:tab w:val="right" w:pos="8640"/>
      </w:tabs>
    </w:pPr>
  </w:style>
  <w:style w:type="character" w:styleId="PageNumber">
    <w:name w:val="page number"/>
    <w:basedOn w:val="DefaultParagraphFont"/>
    <w:semiHidden/>
    <w:locked/>
    <w:rsid w:val="001F13C0"/>
  </w:style>
  <w:style w:type="table" w:styleId="TableGrid">
    <w:name w:val="Table Grid"/>
    <w:basedOn w:val="TableNormal"/>
    <w:semiHidden/>
    <w:locked/>
    <w:rsid w:val="00BD7DE7"/>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s">
    <w:name w:val="List - Bullets"/>
    <w:basedOn w:val="Normal"/>
    <w:rsid w:val="00537506"/>
    <w:pPr>
      <w:numPr>
        <w:numId w:val="1"/>
      </w:numPr>
    </w:pPr>
  </w:style>
  <w:style w:type="paragraph" w:customStyle="1" w:styleId="List-Lettered">
    <w:name w:val="List - Lettered"/>
    <w:basedOn w:val="Normal"/>
    <w:rsid w:val="007A22E8"/>
    <w:pPr>
      <w:numPr>
        <w:numId w:val="4"/>
      </w:numPr>
      <w:ind w:left="641" w:hanging="357"/>
    </w:pPr>
    <w:rPr>
      <w:szCs w:val="20"/>
      <w:lang w:eastAsia="en-NZ"/>
    </w:rPr>
  </w:style>
  <w:style w:type="paragraph" w:customStyle="1" w:styleId="List-Numbered">
    <w:name w:val="List - Numbered"/>
    <w:basedOn w:val="Normal"/>
    <w:rsid w:val="00537506"/>
    <w:pPr>
      <w:numPr>
        <w:numId w:val="3"/>
      </w:numPr>
      <w:tabs>
        <w:tab w:val="left" w:pos="3402"/>
      </w:tabs>
    </w:pPr>
    <w:rPr>
      <w:szCs w:val="20"/>
      <w:lang w:eastAsia="en-NZ"/>
    </w:rPr>
  </w:style>
  <w:style w:type="paragraph" w:styleId="ListNumber2">
    <w:name w:val="List Number 2"/>
    <w:basedOn w:val="Normal"/>
    <w:semiHidden/>
    <w:locked/>
    <w:rsid w:val="00537506"/>
    <w:rPr>
      <w:szCs w:val="20"/>
      <w:lang w:eastAsia="en-NZ"/>
    </w:rPr>
  </w:style>
  <w:style w:type="paragraph" w:customStyle="1" w:styleId="Normal-NZTA">
    <w:name w:val="Normal - NZTA"/>
    <w:basedOn w:val="Normal"/>
    <w:rsid w:val="00663610"/>
  </w:style>
  <w:style w:type="paragraph" w:styleId="BalloonText">
    <w:name w:val="Balloon Text"/>
    <w:basedOn w:val="Normal"/>
    <w:link w:val="BalloonTextChar"/>
    <w:locked/>
    <w:rsid w:val="005860C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860CE"/>
    <w:rPr>
      <w:rFonts w:ascii="Tahoma" w:hAnsi="Tahoma" w:cs="Tahoma"/>
      <w:sz w:val="16"/>
      <w:szCs w:val="16"/>
      <w:lang w:val="en-GB" w:eastAsia="en-GB"/>
    </w:rPr>
  </w:style>
  <w:style w:type="character" w:styleId="Hyperlink">
    <w:name w:val="Hyperlink"/>
    <w:basedOn w:val="DefaultParagraphFont"/>
    <w:uiPriority w:val="99"/>
    <w:unhideWhenUsed/>
    <w:locked/>
    <w:rsid w:val="00EA28CC"/>
    <w:rPr>
      <w:color w:val="0000FF"/>
      <w:u w:val="single"/>
    </w:rPr>
  </w:style>
  <w:style w:type="paragraph" w:styleId="ListParagraph">
    <w:name w:val="List Paragraph"/>
    <w:basedOn w:val="Normal"/>
    <w:uiPriority w:val="34"/>
    <w:qFormat/>
    <w:rsid w:val="00EA28CC"/>
    <w:pPr>
      <w:spacing w:line="240" w:lineRule="auto"/>
      <w:ind w:left="720"/>
    </w:pPr>
    <w:rPr>
      <w:rFonts w:ascii="Calibri" w:eastAsiaTheme="minorHAnsi" w:hAnsi="Calibri"/>
      <w:sz w:val="22"/>
      <w:szCs w:val="22"/>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zta.govt.nz/assets/resources/procurement-manual/docs/attribute-weight-setting-tool.xl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zta.govt.nz/assets/resources/procurement-manual/docs/procurement-manual-amendment-4.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zta.govt.nz/resources/procurement-manual/procurement-tool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zta.govt.nz/assets/resources/procurement-manual/docs/attribute-weight-setting-tool.xls" TargetMode="External"/><Relationship Id="rId4" Type="http://schemas.openxmlformats.org/officeDocument/2006/relationships/webSettings" Target="webSettings.xml"/><Relationship Id="rId9" Type="http://schemas.openxmlformats.org/officeDocument/2006/relationships/hyperlink" Target="https://www.nzta.govt.nz/resources/procurement-manual/procurement-tool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an.net.nz\NETLOGON\W10_Templates\Correspondence%20-%20Fil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Correspondence - File Note.dotm</Template>
  <TotalTime>56</TotalTime>
  <Pages>4</Pages>
  <Words>1740</Words>
  <Characters>9314</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Good practice artice</vt:lpstr>
    </vt:vector>
  </TitlesOfParts>
  <Company>NZTA</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artice</dc:title>
  <dc:subject>Good practice artice</dc:subject>
  <dc:creator>Bernard Cuttance</dc:creator>
  <cp:keywords>Design by Clemenger, Development by Allfields</cp:keywords>
  <dc:description>18 August 2015</dc:description>
  <cp:lastModifiedBy>Bernie Cuttance</cp:lastModifiedBy>
  <cp:revision>6</cp:revision>
  <cp:lastPrinted>2014-01-22T21:18:00Z</cp:lastPrinted>
  <dcterms:created xsi:type="dcterms:W3CDTF">2015-08-17T23:10:00Z</dcterms:created>
  <dcterms:modified xsi:type="dcterms:W3CDTF">2018-08-10T00:52:00Z</dcterms:modified>
  <cp:category>File Note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mdate" linkTarget="bkmDate">
    <vt:lpwstr>18 August 2015 - links updated 10 August 2018  </vt:lpwstr>
  </property>
  <property fmtid="{D5CDD505-2E9C-101B-9397-08002B2CF9AE}" pid="3" name="bkmref" linkTarget="bkmref">
    <vt:lpwstr>  </vt:lpwstr>
  </property>
  <property fmtid="{D5CDD505-2E9C-101B-9397-08002B2CF9AE}" pid="4" name="bkmsignoff" linkTarget="bkmsignoff">
    <vt:lpwstr>Bernard Cuttance  </vt:lpwstr>
  </property>
  <property fmtid="{D5CDD505-2E9C-101B-9397-08002B2CF9AE}" pid="5" name="bkmsubject" linkTarget="bkmsubject">
    <vt:lpwstr>Good practice when using the Price quality method of supplier selection </vt:lpwstr>
  </property>
  <property fmtid="{D5CDD505-2E9C-101B-9397-08002B2CF9AE}" pid="6" name="bkmuseraddress" linkTarget="bkmuseraddress">
    <vt:lpwstr/>
  </property>
</Properties>
</file>